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A20BFC" w:rsidRPr="00DE3EC0" w14:paraId="575BBA39" w14:textId="77777777">
        <w:trPr>
          <w:trHeight w:val="851"/>
        </w:trPr>
        <w:tc>
          <w:tcPr>
            <w:tcW w:w="1259" w:type="dxa"/>
            <w:tcBorders>
              <w:top w:val="nil"/>
              <w:left w:val="nil"/>
              <w:bottom w:val="single" w:sz="4" w:space="0" w:color="auto"/>
              <w:right w:val="nil"/>
            </w:tcBorders>
          </w:tcPr>
          <w:p w14:paraId="2918B864" w14:textId="77777777" w:rsidR="00A20BFC" w:rsidRPr="00E806EE" w:rsidRDefault="00A20BFC" w:rsidP="0094567F">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3466A16E" w14:textId="77777777" w:rsidR="00A20BFC" w:rsidRPr="00963CBA" w:rsidRDefault="00A20BFC" w:rsidP="0094567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4BCF47" w14:textId="77777777" w:rsidR="00A20BFC" w:rsidRPr="00DE3EC0" w:rsidRDefault="00A20BFC" w:rsidP="0094567F">
            <w:pPr>
              <w:jc w:val="right"/>
            </w:pPr>
            <w:r w:rsidRPr="001D18FE">
              <w:rPr>
                <w:sz w:val="40"/>
              </w:rPr>
              <w:t>A</w:t>
            </w:r>
            <w:r>
              <w:t>/HRC/31/L.</w:t>
            </w:r>
          </w:p>
        </w:tc>
      </w:tr>
      <w:tr w:rsidR="00A20BFC" w14:paraId="36262BD8" w14:textId="77777777">
        <w:trPr>
          <w:trHeight w:val="2833"/>
        </w:trPr>
        <w:tc>
          <w:tcPr>
            <w:tcW w:w="1259" w:type="dxa"/>
            <w:tcBorders>
              <w:top w:val="single" w:sz="4" w:space="0" w:color="auto"/>
              <w:left w:val="nil"/>
              <w:bottom w:val="single" w:sz="12" w:space="0" w:color="auto"/>
              <w:right w:val="nil"/>
            </w:tcBorders>
          </w:tcPr>
          <w:p w14:paraId="7503F7F7" w14:textId="77777777" w:rsidR="00A20BFC" w:rsidRDefault="00A20BFC" w:rsidP="0094567F">
            <w:pPr>
              <w:spacing w:before="120"/>
              <w:jc w:val="center"/>
            </w:pPr>
          </w:p>
        </w:tc>
        <w:tc>
          <w:tcPr>
            <w:tcW w:w="5450" w:type="dxa"/>
            <w:gridSpan w:val="2"/>
            <w:tcBorders>
              <w:top w:val="single" w:sz="4" w:space="0" w:color="auto"/>
              <w:left w:val="nil"/>
              <w:bottom w:val="single" w:sz="12" w:space="0" w:color="auto"/>
              <w:right w:val="nil"/>
            </w:tcBorders>
          </w:tcPr>
          <w:p w14:paraId="344CC813" w14:textId="77777777" w:rsidR="0074099D" w:rsidRPr="00DD2490" w:rsidRDefault="0074099D" w:rsidP="0074099D">
            <w:pPr>
              <w:rPr>
                <w:b/>
                <w:bCs/>
                <w:color w:val="0000FF"/>
                <w:sz w:val="18"/>
                <w:szCs w:val="18"/>
                <w:u w:val="single"/>
                <w:lang w:val="en-US"/>
              </w:rPr>
            </w:pPr>
            <w:r w:rsidRPr="00DD2490">
              <w:rPr>
                <w:b/>
                <w:bCs/>
                <w:color w:val="0000FF"/>
                <w:sz w:val="18"/>
                <w:szCs w:val="18"/>
                <w:u w:val="single"/>
                <w:lang w:val="en-US"/>
              </w:rPr>
              <w:t>FOR THE SECRETARIAT ONLY</w:t>
            </w:r>
          </w:p>
          <w:p w14:paraId="00A458CC" w14:textId="77777777" w:rsidR="0074099D" w:rsidRPr="00DD2490" w:rsidRDefault="0074099D" w:rsidP="0074099D">
            <w:pPr>
              <w:jc w:val="both"/>
              <w:rPr>
                <w:color w:val="0000FF"/>
              </w:rPr>
            </w:pPr>
            <w:r w:rsidRPr="00DD2490">
              <w:rPr>
                <w:b/>
                <w:bCs/>
                <w:color w:val="0000FF"/>
                <w:sz w:val="18"/>
                <w:szCs w:val="18"/>
                <w:lang w:val="en-US"/>
              </w:rPr>
              <w:t>A/HRC/3</w:t>
            </w:r>
            <w:r>
              <w:rPr>
                <w:b/>
                <w:bCs/>
                <w:color w:val="0000FF"/>
                <w:sz w:val="18"/>
                <w:szCs w:val="18"/>
                <w:lang w:val="en-US"/>
              </w:rPr>
              <w:t>1</w:t>
            </w:r>
            <w:r w:rsidRPr="00DD2490">
              <w:rPr>
                <w:b/>
                <w:bCs/>
                <w:color w:val="0000FF"/>
                <w:sz w:val="18"/>
                <w:szCs w:val="18"/>
                <w:lang w:val="en-US"/>
              </w:rPr>
              <w:t>/L.</w:t>
            </w:r>
            <w:r>
              <w:rPr>
                <w:b/>
                <w:bCs/>
                <w:color w:val="0000FF"/>
                <w:sz w:val="18"/>
                <w:szCs w:val="18"/>
                <w:lang w:val="en-US"/>
              </w:rPr>
              <w:t>37</w:t>
            </w:r>
          </w:p>
          <w:p w14:paraId="3BEF400F" w14:textId="77777777" w:rsidR="0074099D" w:rsidRPr="00DD2490" w:rsidRDefault="0074099D" w:rsidP="0074099D">
            <w:pPr>
              <w:rPr>
                <w:b/>
                <w:bCs/>
                <w:color w:val="0000FF"/>
                <w:sz w:val="18"/>
                <w:szCs w:val="18"/>
                <w:lang w:val="en-US"/>
              </w:rPr>
            </w:pPr>
            <w:r w:rsidRPr="00DD2490">
              <w:rPr>
                <w:b/>
                <w:bCs/>
                <w:color w:val="0000FF"/>
                <w:sz w:val="18"/>
                <w:szCs w:val="18"/>
                <w:lang w:val="en-US"/>
              </w:rPr>
              <w:t xml:space="preserve">Received from </w:t>
            </w:r>
            <w:r w:rsidRPr="00DD2490">
              <w:rPr>
                <w:b/>
                <w:bCs/>
                <w:color w:val="0000FF"/>
                <w:sz w:val="18"/>
                <w:szCs w:val="18"/>
              </w:rPr>
              <w:t>(</w:t>
            </w:r>
            <w:r w:rsidRPr="00DD2490">
              <w:rPr>
                <w:b/>
                <w:bCs/>
                <w:color w:val="0000FF"/>
                <w:sz w:val="18"/>
                <w:szCs w:val="18"/>
                <w:lang w:val="en-US"/>
              </w:rPr>
              <w:t xml:space="preserve">main sponsors): </w:t>
            </w:r>
            <w:r>
              <w:rPr>
                <w:b/>
                <w:bCs/>
                <w:color w:val="0000FF"/>
                <w:sz w:val="18"/>
                <w:szCs w:val="18"/>
                <w:lang w:val="en-US"/>
              </w:rPr>
              <w:t>Pakistan (on behalf of the OIC)</w:t>
            </w:r>
          </w:p>
          <w:p w14:paraId="647950E5" w14:textId="77777777" w:rsidR="0074099D" w:rsidRPr="00DD2490" w:rsidRDefault="0074099D" w:rsidP="0074099D">
            <w:pPr>
              <w:rPr>
                <w:b/>
                <w:bCs/>
                <w:color w:val="0000FF"/>
                <w:sz w:val="18"/>
                <w:szCs w:val="18"/>
                <w:lang w:val="en-US"/>
              </w:rPr>
            </w:pPr>
            <w:r w:rsidRPr="00DD2490">
              <w:rPr>
                <w:b/>
                <w:bCs/>
                <w:color w:val="0000FF"/>
                <w:sz w:val="18"/>
                <w:szCs w:val="18"/>
                <w:lang w:val="en-US"/>
              </w:rPr>
              <w:t xml:space="preserve">Date and Time: </w:t>
            </w:r>
            <w:r>
              <w:rPr>
                <w:b/>
                <w:bCs/>
                <w:color w:val="0000FF"/>
                <w:sz w:val="18"/>
                <w:szCs w:val="18"/>
              </w:rPr>
              <w:t>18/03/2016</w:t>
            </w:r>
            <w:r w:rsidRPr="00DD2490">
              <w:rPr>
                <w:b/>
                <w:bCs/>
                <w:color w:val="0000FF"/>
                <w:sz w:val="18"/>
                <w:szCs w:val="18"/>
              </w:rPr>
              <w:t xml:space="preserve"> </w:t>
            </w:r>
            <w:r>
              <w:rPr>
                <w:b/>
                <w:bCs/>
                <w:color w:val="0000FF"/>
                <w:sz w:val="18"/>
                <w:szCs w:val="18"/>
              </w:rPr>
              <w:t xml:space="preserve"> 1230</w:t>
            </w:r>
          </w:p>
          <w:p w14:paraId="1D215781" w14:textId="77777777" w:rsidR="0074099D" w:rsidRPr="00DD2490" w:rsidRDefault="0074099D" w:rsidP="0074099D">
            <w:pPr>
              <w:tabs>
                <w:tab w:val="left" w:pos="1451"/>
              </w:tabs>
              <w:rPr>
                <w:color w:val="0000FF"/>
              </w:rPr>
            </w:pPr>
            <w:r w:rsidRPr="00DD2490">
              <w:rPr>
                <w:b/>
                <w:bCs/>
                <w:color w:val="0000FF"/>
                <w:sz w:val="18"/>
                <w:szCs w:val="18"/>
                <w:lang w:val="en-US"/>
              </w:rPr>
              <w:t xml:space="preserve">Initials: </w:t>
            </w:r>
            <w:r>
              <w:rPr>
                <w:b/>
                <w:bCs/>
                <w:color w:val="0000FF"/>
                <w:sz w:val="18"/>
                <w:szCs w:val="18"/>
                <w:lang w:val="en-US"/>
              </w:rPr>
              <w:t>EKT</w:t>
            </w:r>
            <w:r w:rsidRPr="00DD2490">
              <w:rPr>
                <w:b/>
                <w:bCs/>
                <w:color w:val="0000FF"/>
                <w:sz w:val="18"/>
                <w:szCs w:val="18"/>
                <w:lang w:val="en-US"/>
              </w:rPr>
              <w:tab/>
            </w:r>
          </w:p>
          <w:p w14:paraId="2326C270" w14:textId="77777777" w:rsidR="0074099D" w:rsidRPr="00DD2490" w:rsidRDefault="0074099D" w:rsidP="0074099D">
            <w:pPr>
              <w:rPr>
                <w:b/>
                <w:bCs/>
                <w:color w:val="0000FF"/>
                <w:sz w:val="18"/>
                <w:szCs w:val="18"/>
                <w:lang w:val="en-US"/>
              </w:rPr>
            </w:pPr>
            <w:r w:rsidRPr="00DD2490">
              <w:rPr>
                <w:b/>
                <w:bCs/>
                <w:color w:val="0000FF"/>
                <w:sz w:val="18"/>
                <w:szCs w:val="18"/>
                <w:lang w:val="en-US"/>
              </w:rPr>
              <w:t xml:space="preserve">Page </w:t>
            </w:r>
            <w:r w:rsidRPr="00DD2490">
              <w:rPr>
                <w:b/>
                <w:bCs/>
                <w:color w:val="0000FF"/>
                <w:sz w:val="18"/>
                <w:szCs w:val="18"/>
                <w:lang w:val="en-US"/>
              </w:rPr>
              <w:fldChar w:fldCharType="begin"/>
            </w:r>
            <w:r w:rsidRPr="00DD2490">
              <w:rPr>
                <w:b/>
                <w:bCs/>
                <w:color w:val="0000FF"/>
                <w:sz w:val="18"/>
                <w:szCs w:val="18"/>
                <w:lang w:val="en-US"/>
              </w:rPr>
              <w:instrText xml:space="preserve"> PAGE  \* Arabic  \* MERGEFORMAT </w:instrText>
            </w:r>
            <w:r w:rsidRPr="00DD2490">
              <w:rPr>
                <w:b/>
                <w:bCs/>
                <w:color w:val="0000FF"/>
                <w:sz w:val="18"/>
                <w:szCs w:val="18"/>
                <w:lang w:val="en-US"/>
              </w:rPr>
              <w:fldChar w:fldCharType="separate"/>
            </w:r>
            <w:r w:rsidRPr="00DD2490">
              <w:rPr>
                <w:b/>
                <w:bCs/>
                <w:noProof/>
                <w:color w:val="0000FF"/>
                <w:sz w:val="18"/>
                <w:szCs w:val="18"/>
                <w:lang w:val="en-US"/>
              </w:rPr>
              <w:t>1</w:t>
            </w:r>
            <w:r w:rsidRPr="00DD2490">
              <w:rPr>
                <w:b/>
                <w:bCs/>
                <w:color w:val="0000FF"/>
                <w:sz w:val="18"/>
                <w:szCs w:val="18"/>
                <w:lang w:val="en-US"/>
              </w:rPr>
              <w:fldChar w:fldCharType="end"/>
            </w:r>
            <w:r w:rsidRPr="00DD2490">
              <w:rPr>
                <w:b/>
                <w:bCs/>
                <w:color w:val="0000FF"/>
                <w:sz w:val="18"/>
                <w:szCs w:val="18"/>
                <w:lang w:val="en-US"/>
              </w:rPr>
              <w:t xml:space="preserve"> of </w:t>
            </w:r>
            <w:r w:rsidRPr="00DD2490">
              <w:rPr>
                <w:b/>
                <w:bCs/>
                <w:color w:val="0000FF"/>
                <w:sz w:val="18"/>
                <w:szCs w:val="18"/>
                <w:lang w:val="en-US"/>
              </w:rPr>
              <w:fldChar w:fldCharType="begin"/>
            </w:r>
            <w:r w:rsidRPr="00DD2490">
              <w:rPr>
                <w:b/>
                <w:bCs/>
                <w:color w:val="0000FF"/>
                <w:sz w:val="18"/>
                <w:szCs w:val="18"/>
                <w:lang w:val="en-US"/>
              </w:rPr>
              <w:instrText xml:space="preserve"> NUMPAGES  \* Arabic  \* MERGEFORMAT </w:instrText>
            </w:r>
            <w:r w:rsidRPr="00DD2490">
              <w:rPr>
                <w:b/>
                <w:bCs/>
                <w:color w:val="0000FF"/>
                <w:sz w:val="18"/>
                <w:szCs w:val="18"/>
                <w:lang w:val="en-US"/>
              </w:rPr>
              <w:fldChar w:fldCharType="separate"/>
            </w:r>
            <w:r w:rsidRPr="00DD2490">
              <w:rPr>
                <w:b/>
                <w:bCs/>
                <w:noProof/>
                <w:color w:val="0000FF"/>
                <w:sz w:val="18"/>
                <w:szCs w:val="18"/>
                <w:lang w:val="en-US"/>
              </w:rPr>
              <w:t>4</w:t>
            </w:r>
            <w:r w:rsidRPr="00DD2490">
              <w:rPr>
                <w:b/>
                <w:bCs/>
                <w:color w:val="0000FF"/>
                <w:sz w:val="18"/>
                <w:szCs w:val="18"/>
                <w:lang w:val="en-US"/>
              </w:rPr>
              <w:fldChar w:fldCharType="end"/>
            </w:r>
          </w:p>
          <w:p w14:paraId="20FDFC9C" w14:textId="77777777" w:rsidR="00A20BFC" w:rsidRPr="00B3317B" w:rsidRDefault="00A20BFC" w:rsidP="0094567F">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4AD0AFCF" w14:textId="77777777" w:rsidR="00A20BFC" w:rsidRDefault="00A20BFC" w:rsidP="0094567F">
            <w:pPr>
              <w:spacing w:before="240" w:line="240" w:lineRule="exact"/>
            </w:pPr>
            <w:r>
              <w:t>Distr.: Limited</w:t>
            </w:r>
          </w:p>
          <w:p w14:paraId="42F56873" w14:textId="77777777" w:rsidR="00A20BFC" w:rsidRDefault="00A20BFC" w:rsidP="0094567F">
            <w:pPr>
              <w:spacing w:line="240" w:lineRule="exact"/>
            </w:pPr>
            <w:r>
              <w:t xml:space="preserve"> March 2016</w:t>
            </w:r>
          </w:p>
          <w:p w14:paraId="5BB4CBDB" w14:textId="77777777" w:rsidR="00A20BFC" w:rsidRDefault="00A20BFC" w:rsidP="0094567F">
            <w:pPr>
              <w:spacing w:line="240" w:lineRule="exact"/>
            </w:pPr>
          </w:p>
          <w:p w14:paraId="41FD86B9" w14:textId="77777777" w:rsidR="00A20BFC" w:rsidRDefault="00A20BFC" w:rsidP="0094567F">
            <w:pPr>
              <w:spacing w:line="240" w:lineRule="exact"/>
            </w:pPr>
            <w:r>
              <w:t>Original: English</w:t>
            </w:r>
          </w:p>
        </w:tc>
      </w:tr>
    </w:tbl>
    <w:p w14:paraId="716CBFA1" w14:textId="77777777" w:rsidR="00A20BFC" w:rsidRDefault="00A20BFC" w:rsidP="00752A10">
      <w:pPr>
        <w:spacing w:before="120"/>
        <w:rPr>
          <w:b/>
        </w:rPr>
      </w:pPr>
    </w:p>
    <w:p w14:paraId="74006C3C" w14:textId="77777777" w:rsidR="00752A10" w:rsidRPr="00AB36BF" w:rsidRDefault="00752A10" w:rsidP="00752A10">
      <w:pPr>
        <w:spacing w:before="120"/>
        <w:rPr>
          <w:b/>
        </w:rPr>
      </w:pPr>
      <w:r w:rsidRPr="00AB36BF">
        <w:rPr>
          <w:b/>
        </w:rPr>
        <w:t>Human Rights Council</w:t>
      </w:r>
    </w:p>
    <w:p w14:paraId="4F45379A" w14:textId="77777777" w:rsidR="00752A10" w:rsidRPr="00AB36BF" w:rsidRDefault="00256F35" w:rsidP="00752A10">
      <w:pPr>
        <w:rPr>
          <w:b/>
        </w:rPr>
      </w:pPr>
      <w:r w:rsidRPr="00AB36BF">
        <w:rPr>
          <w:b/>
        </w:rPr>
        <w:t xml:space="preserve">Thirty first </w:t>
      </w:r>
      <w:r w:rsidR="00752A10" w:rsidRPr="00AB36BF">
        <w:rPr>
          <w:b/>
        </w:rPr>
        <w:t>session</w:t>
      </w:r>
    </w:p>
    <w:p w14:paraId="2D72E7E3" w14:textId="77777777" w:rsidR="00752A10" w:rsidRPr="00AB36BF" w:rsidRDefault="00752A10" w:rsidP="00752A10">
      <w:r w:rsidRPr="00AB36BF">
        <w:t>Agenda item 7</w:t>
      </w:r>
    </w:p>
    <w:p w14:paraId="2C36BA3F" w14:textId="77777777" w:rsidR="00752A10" w:rsidRPr="00AB36BF" w:rsidRDefault="00752A10" w:rsidP="00752A10">
      <w:pPr>
        <w:rPr>
          <w:b/>
        </w:rPr>
      </w:pPr>
      <w:r w:rsidRPr="00AB36BF">
        <w:rPr>
          <w:b/>
        </w:rPr>
        <w:t>Human rights situation in Palestine and other</w:t>
      </w:r>
      <w:r w:rsidRPr="00AB36BF">
        <w:rPr>
          <w:b/>
        </w:rPr>
        <w:br/>
        <w:t>occupied Arab territories</w:t>
      </w:r>
    </w:p>
    <w:p w14:paraId="4A93C101" w14:textId="77777777" w:rsidR="00752A10" w:rsidRPr="00AB36BF" w:rsidRDefault="00752A10" w:rsidP="00AB36BF">
      <w:pPr>
        <w:pStyle w:val="H23G"/>
      </w:pPr>
      <w:r w:rsidRPr="00AB36BF">
        <w:tab/>
      </w:r>
      <w:r w:rsidRPr="00AB36BF">
        <w:tab/>
      </w:r>
      <w:r w:rsidR="00256F35" w:rsidRPr="00AB36BF">
        <w:t>31</w:t>
      </w:r>
      <w:r w:rsidRPr="00AB36BF">
        <w:t>/…Human rights situation in the Occupied Palestinian Territory, including East Jerusalem</w:t>
      </w:r>
    </w:p>
    <w:p w14:paraId="21600D18" w14:textId="77777777" w:rsidR="00752A10" w:rsidRPr="00AB36BF" w:rsidRDefault="00752A10" w:rsidP="00752A10">
      <w:pPr>
        <w:pStyle w:val="SingleTxtG"/>
        <w:spacing w:after="240"/>
      </w:pPr>
      <w:r w:rsidRPr="00AB36BF">
        <w:rPr>
          <w:i/>
          <w:iCs/>
        </w:rPr>
        <w:tab/>
        <w:t>The Human Rights Council</w:t>
      </w:r>
      <w:r w:rsidRPr="00AB36BF">
        <w:t>,</w:t>
      </w:r>
    </w:p>
    <w:p w14:paraId="7CE3215D" w14:textId="77777777" w:rsidR="00752A10" w:rsidRPr="0074099D" w:rsidRDefault="00B5388D" w:rsidP="00752A10">
      <w:pPr>
        <w:pStyle w:val="SingleTxtG"/>
        <w:ind w:firstLine="567"/>
      </w:pPr>
      <w:r w:rsidRPr="0074099D">
        <w:t xml:space="preserve">PP1 </w:t>
      </w:r>
      <w:r w:rsidR="00752A10" w:rsidRPr="0074099D">
        <w:rPr>
          <w:i/>
        </w:rPr>
        <w:t>Recalling</w:t>
      </w:r>
      <w:r w:rsidR="00752A10" w:rsidRPr="0074099D">
        <w:t xml:space="preserve"> the Universal Declaration of Human Rights,</w:t>
      </w:r>
      <w:r w:rsidR="00752A10" w:rsidRPr="0074099D">
        <w:rPr>
          <w:i/>
        </w:rPr>
        <w:t xml:space="preserve"> </w:t>
      </w:r>
      <w:r w:rsidR="00752A10" w:rsidRPr="0074099D">
        <w:t>the International Covenant on Civil and Political Rights, the International Covenant on Economic, Social and Cultural Rights, the Convention on the Rights of the Child,</w:t>
      </w:r>
      <w:r w:rsidR="00752A10" w:rsidRPr="0074099D">
        <w:rPr>
          <w:bCs/>
        </w:rPr>
        <w:t xml:space="preserve"> the Optional Protocol thereto on the involvement of children in armed conflict, the Convention on the Elimination of All Forms of Discrimination against Women, the Convention against Torture</w:t>
      </w:r>
      <w:r w:rsidR="00752A10" w:rsidRPr="0074099D">
        <w:t xml:space="preserve"> </w:t>
      </w:r>
      <w:r w:rsidR="00752A10" w:rsidRPr="0074099D">
        <w:rPr>
          <w:bCs/>
        </w:rPr>
        <w:t>and Other Cruel, Inhuman or Degrading Treatment or Punishment</w:t>
      </w:r>
      <w:r w:rsidR="00752A10" w:rsidRPr="0074099D">
        <w:t xml:space="preserve"> and the International Convention on the Elimination of All Forms of Racial Discrimination, and affirming that these human rights instruments, </w:t>
      </w:r>
      <w:r w:rsidR="00752A10" w:rsidRPr="0074099D">
        <w:rPr>
          <w:bCs/>
        </w:rPr>
        <w:t xml:space="preserve">among others, are applicable to and </w:t>
      </w:r>
      <w:r w:rsidR="00752A10" w:rsidRPr="0074099D">
        <w:t>must be respected in the Occupied Palestinian Territory, including East Jerusalem,</w:t>
      </w:r>
    </w:p>
    <w:p w14:paraId="3083F036" w14:textId="77777777" w:rsidR="00752A10" w:rsidRPr="0074099D" w:rsidRDefault="00B5388D" w:rsidP="00752A10">
      <w:pPr>
        <w:pStyle w:val="SingleTxtG"/>
        <w:ind w:firstLine="567"/>
      </w:pPr>
      <w:r w:rsidRPr="0074099D">
        <w:t xml:space="preserve">PP2 </w:t>
      </w:r>
      <w:r w:rsidR="00752A10" w:rsidRPr="0074099D">
        <w:rPr>
          <w:i/>
        </w:rPr>
        <w:t>Recalling</w:t>
      </w:r>
      <w:r w:rsidR="00752A10" w:rsidRPr="0074099D">
        <w:t xml:space="preserve"> </w:t>
      </w:r>
      <w:r w:rsidR="00752A10" w:rsidRPr="0074099D">
        <w:rPr>
          <w:i/>
        </w:rPr>
        <w:t>also</w:t>
      </w:r>
      <w:r w:rsidR="00752A10" w:rsidRPr="0074099D">
        <w:t xml:space="preserve"> relevant resolutions of the Human Rights Council,</w:t>
      </w:r>
    </w:p>
    <w:p w14:paraId="50A3122C" w14:textId="77777777" w:rsidR="00752A10" w:rsidRPr="0074099D" w:rsidRDefault="00B5388D" w:rsidP="00752A10">
      <w:pPr>
        <w:pStyle w:val="SingleTxtG"/>
        <w:ind w:firstLine="567"/>
      </w:pPr>
      <w:r w:rsidRPr="0074099D">
        <w:t xml:space="preserve">PP3 </w:t>
      </w:r>
      <w:r w:rsidR="00752A10" w:rsidRPr="0074099D">
        <w:rPr>
          <w:i/>
        </w:rPr>
        <w:t>Taking note</w:t>
      </w:r>
      <w:r w:rsidR="00752A10" w:rsidRPr="0074099D">
        <w:t xml:space="preserve"> of the recent reports of the Special Rapporteur on the situation of human rights in the Palestinian territories occupied since 1967, as well as of other relevant recent reports of the Human Rights Council,</w:t>
      </w:r>
    </w:p>
    <w:p w14:paraId="1AFCF190" w14:textId="77777777" w:rsidR="00752A10" w:rsidRPr="0074099D" w:rsidRDefault="00B5388D" w:rsidP="00752A10">
      <w:pPr>
        <w:pStyle w:val="SingleTxtG"/>
        <w:ind w:firstLine="567"/>
        <w:rPr>
          <w:bCs/>
        </w:rPr>
      </w:pPr>
      <w:r w:rsidRPr="0074099D">
        <w:rPr>
          <w:bCs/>
          <w:iCs/>
        </w:rPr>
        <w:t xml:space="preserve">PP4 </w:t>
      </w:r>
      <w:r w:rsidR="00752A10" w:rsidRPr="0074099D">
        <w:rPr>
          <w:bCs/>
          <w:i/>
          <w:iCs/>
        </w:rPr>
        <w:t>Noting</w:t>
      </w:r>
      <w:r w:rsidR="00752A10" w:rsidRPr="0074099D">
        <w:rPr>
          <w:bCs/>
        </w:rPr>
        <w:t xml:space="preserve"> the recent accession by Palestine to several human rights treaties and the core humanitarian law conventions, and its accession on 2 January 2015 to the Rome Statute of the International Criminal Court, </w:t>
      </w:r>
    </w:p>
    <w:p w14:paraId="74CBD10A" w14:textId="77777777" w:rsidR="00752A10" w:rsidRPr="0074099D" w:rsidRDefault="00B5388D" w:rsidP="00752A10">
      <w:pPr>
        <w:pStyle w:val="SingleTxtG"/>
        <w:ind w:firstLine="567"/>
        <w:rPr>
          <w:bCs/>
        </w:rPr>
      </w:pPr>
      <w:r w:rsidRPr="0074099D">
        <w:rPr>
          <w:bCs/>
        </w:rPr>
        <w:t xml:space="preserve">PP5 </w:t>
      </w:r>
      <w:r w:rsidR="00752A10" w:rsidRPr="0074099D">
        <w:rPr>
          <w:bCs/>
          <w:i/>
        </w:rPr>
        <w:t>Deploring</w:t>
      </w:r>
      <w:r w:rsidR="00752A10" w:rsidRPr="0074099D">
        <w:rPr>
          <w:bCs/>
        </w:rPr>
        <w:t xml:space="preserve"> Israel’s recurrent practice of withholding Palestinian tax revenues,</w:t>
      </w:r>
    </w:p>
    <w:p w14:paraId="4A1F6185" w14:textId="77777777" w:rsidR="00752A10" w:rsidRPr="0074099D" w:rsidRDefault="00B5388D" w:rsidP="00256A49">
      <w:pPr>
        <w:pStyle w:val="SingleTxtG"/>
        <w:ind w:firstLine="567"/>
      </w:pPr>
      <w:r w:rsidRPr="0074099D">
        <w:t xml:space="preserve">PP6 </w:t>
      </w:r>
      <w:r w:rsidR="00752A10" w:rsidRPr="0074099D">
        <w:rPr>
          <w:i/>
        </w:rPr>
        <w:t>Aware</w:t>
      </w:r>
      <w:r w:rsidR="00752A10" w:rsidRPr="0074099D">
        <w:t xml:space="preserve"> of the responsibility of the international community to promote human rights and ensure respect for international law,</w:t>
      </w:r>
    </w:p>
    <w:p w14:paraId="30ED12F2" w14:textId="77777777" w:rsidR="00752A10" w:rsidRPr="0074099D" w:rsidRDefault="00B5388D" w:rsidP="00256A49">
      <w:pPr>
        <w:pStyle w:val="SingleTxtG"/>
        <w:ind w:firstLine="567"/>
      </w:pPr>
      <w:r w:rsidRPr="0074099D">
        <w:t xml:space="preserve">PP7 </w:t>
      </w:r>
      <w:r w:rsidR="00752A10" w:rsidRPr="0074099D">
        <w:rPr>
          <w:i/>
        </w:rPr>
        <w:t>Recalling</w:t>
      </w:r>
      <w:r w:rsidR="00752A10" w:rsidRPr="0074099D">
        <w:t xml:space="preserve"> the advisory opinion rendered on 9 July 2004 by the International Court of Justice, and recalling also General Assembly resolutions ES-10/15 of 20 July 2004 and ES-10/17 of 15 December 2006,</w:t>
      </w:r>
    </w:p>
    <w:p w14:paraId="11FC8969" w14:textId="77777777" w:rsidR="00752A10" w:rsidRPr="0074099D" w:rsidRDefault="00B5388D" w:rsidP="00256A49">
      <w:pPr>
        <w:pStyle w:val="SingleTxtG"/>
        <w:ind w:firstLine="567"/>
      </w:pPr>
      <w:r w:rsidRPr="0074099D">
        <w:t xml:space="preserve">PP8 </w:t>
      </w:r>
      <w:r w:rsidR="00752A10" w:rsidRPr="0074099D">
        <w:rPr>
          <w:i/>
        </w:rPr>
        <w:t>Noting in particular</w:t>
      </w:r>
      <w:r w:rsidR="00752A10" w:rsidRPr="0074099D">
        <w:t xml:space="preserve"> the Court’s reply, including that the construction of the wall being built by Israel, the occupying Power, in the Occupied Palestinian Territory, including in and around East Jerusalem, and its associated regime are contrary to international law,</w:t>
      </w:r>
    </w:p>
    <w:p w14:paraId="20303D2A" w14:textId="77777777" w:rsidR="00752A10" w:rsidRPr="0074099D" w:rsidRDefault="00B5388D" w:rsidP="00256A49">
      <w:pPr>
        <w:pStyle w:val="SingleTxtG"/>
        <w:ind w:firstLine="567"/>
      </w:pPr>
      <w:r w:rsidRPr="0074099D">
        <w:lastRenderedPageBreak/>
        <w:t xml:space="preserve">PP9 </w:t>
      </w:r>
      <w:r w:rsidR="00752A10" w:rsidRPr="0074099D">
        <w:rPr>
          <w:i/>
        </w:rPr>
        <w:t>Reaffirming</w:t>
      </w:r>
      <w:r w:rsidR="00752A10" w:rsidRPr="0074099D">
        <w:t xml:space="preserve"> the principle of the inadmissibility of the acquisition of territory by force, and deeply concerned at the fragmentation of the Occupied Palestinian Territory, including East Jerusalem, through the construction of settlements, settler roads, the wall and other measures that are tantamount to de facto annexation of Palestinian land,</w:t>
      </w:r>
    </w:p>
    <w:p w14:paraId="75A73AB0" w14:textId="77777777" w:rsidR="00752A10" w:rsidRPr="0074099D" w:rsidRDefault="00B5388D" w:rsidP="00256A49">
      <w:pPr>
        <w:pStyle w:val="SingleTxtG"/>
        <w:ind w:firstLine="567"/>
      </w:pPr>
      <w:r w:rsidRPr="0074099D">
        <w:t xml:space="preserve">PP10 </w:t>
      </w:r>
      <w:r w:rsidR="00752A10" w:rsidRPr="0074099D">
        <w:rPr>
          <w:i/>
        </w:rPr>
        <w:t>Emphasizing</w:t>
      </w:r>
      <w:r w:rsidR="00752A10" w:rsidRPr="0074099D">
        <w:t xml:space="preserve"> the applicability of the Geneva Convention relative to the Protection of Civilian Persons in Time of War, of 12 August 1949, to the Occupied Palestinian Territory, including East Jerusalem, and reaffirming the obligation of the States parties to the Fourth Geneva Convention under articles 146, 147 and 148 with regard to penal sanctions, grave breaches and responsibilities of the High Contracting Parties,</w:t>
      </w:r>
    </w:p>
    <w:p w14:paraId="2B836840" w14:textId="77777777" w:rsidR="00752A10" w:rsidRPr="0074099D" w:rsidRDefault="00B5388D" w:rsidP="00256A49">
      <w:pPr>
        <w:pStyle w:val="SingleTxtG"/>
        <w:ind w:firstLine="567"/>
      </w:pPr>
      <w:r w:rsidRPr="0074099D">
        <w:t xml:space="preserve">PP11 </w:t>
      </w:r>
      <w:r w:rsidR="00752A10" w:rsidRPr="0074099D">
        <w:rPr>
          <w:i/>
        </w:rPr>
        <w:t>Reaffirming</w:t>
      </w:r>
      <w:r w:rsidR="00752A10" w:rsidRPr="0074099D">
        <w:t xml:space="preserve"> that all States have the right and the duty to take actions in conformity with international human rights law and international humanitarian law to counter deadly acts of violence against their civilian population in order to protect the lives of their citizens,</w:t>
      </w:r>
    </w:p>
    <w:p w14:paraId="6B4331E5" w14:textId="77777777" w:rsidR="00752A10" w:rsidRPr="0074099D" w:rsidRDefault="00B5388D" w:rsidP="00752A10">
      <w:pPr>
        <w:pStyle w:val="SingleTxtG"/>
        <w:ind w:firstLine="567"/>
      </w:pPr>
      <w:r w:rsidRPr="0074099D">
        <w:t xml:space="preserve">PP12 </w:t>
      </w:r>
      <w:r w:rsidR="00752A10" w:rsidRPr="0074099D">
        <w:rPr>
          <w:i/>
        </w:rPr>
        <w:t>Stressing</w:t>
      </w:r>
      <w:r w:rsidR="00752A10" w:rsidRPr="0074099D">
        <w:t xml:space="preserve"> </w:t>
      </w:r>
      <w:r w:rsidR="00752A10" w:rsidRPr="0074099D">
        <w:rPr>
          <w:i/>
        </w:rPr>
        <w:t>the need</w:t>
      </w:r>
      <w:r w:rsidR="00752A10" w:rsidRPr="0074099D">
        <w:t xml:space="preserve"> for full compliance with the Israeli-Palestinian agreements reached within the context of the Middle East peace process, including the Sharm el-Sheikh understandings, and the implementation of the Quartet road map to a permanent two-State solution to the Israeli-Palestinian conflict,</w:t>
      </w:r>
    </w:p>
    <w:p w14:paraId="0BDE0572" w14:textId="77777777" w:rsidR="00752A10" w:rsidRPr="0074099D" w:rsidRDefault="00B5388D" w:rsidP="00752A10">
      <w:pPr>
        <w:pStyle w:val="SingleTxtG"/>
        <w:ind w:firstLine="567"/>
        <w:rPr>
          <w:bCs/>
        </w:rPr>
      </w:pPr>
      <w:r w:rsidRPr="0074099D">
        <w:rPr>
          <w:bCs/>
          <w:iCs/>
        </w:rPr>
        <w:t xml:space="preserve">PP13 </w:t>
      </w:r>
      <w:r w:rsidR="00752A10" w:rsidRPr="0074099D">
        <w:rPr>
          <w:bCs/>
          <w:i/>
          <w:iCs/>
        </w:rPr>
        <w:t>Stressing</w:t>
      </w:r>
      <w:r w:rsidR="00752A10" w:rsidRPr="0074099D">
        <w:rPr>
          <w:bCs/>
        </w:rPr>
        <w:t xml:space="preserve"> </w:t>
      </w:r>
      <w:r w:rsidR="00752A10" w:rsidRPr="0074099D">
        <w:rPr>
          <w:bCs/>
          <w:i/>
        </w:rPr>
        <w:t>the importance</w:t>
      </w:r>
      <w:r w:rsidR="00752A10" w:rsidRPr="0074099D">
        <w:rPr>
          <w:bCs/>
        </w:rPr>
        <w:t xml:space="preserve"> of accountability in preventing future conflicts and ensuring that there is no impunity for violations and abuses, thereby contributing to peace efforts and avoiding the recurrence of violations of international law, including international humanitarian law and international human rights law, </w:t>
      </w:r>
    </w:p>
    <w:p w14:paraId="5F83A594" w14:textId="77777777" w:rsidR="003E692B" w:rsidRPr="0074099D" w:rsidRDefault="00B5388D" w:rsidP="003E692B">
      <w:pPr>
        <w:pStyle w:val="SingleTxtG"/>
        <w:ind w:firstLine="567"/>
      </w:pPr>
      <w:r w:rsidRPr="0074099D">
        <w:t xml:space="preserve">PP14 </w:t>
      </w:r>
      <w:r w:rsidR="00752A10" w:rsidRPr="0074099D">
        <w:rPr>
          <w:i/>
        </w:rPr>
        <w:t>Expressing grave concern</w:t>
      </w:r>
      <w:r w:rsidR="00752A10" w:rsidRPr="0074099D">
        <w:t xml:space="preserve"> about the continuing systematic violation of the human rights of the Palestinian people by Israel, the occupying Power, including that arising from the excessive use of force and military operations causing death and injury to Palestinian civilians, including children and women, </w:t>
      </w:r>
      <w:r w:rsidR="00752A10" w:rsidRPr="0074099D">
        <w:rPr>
          <w:bCs/>
        </w:rPr>
        <w:t>as well as to</w:t>
      </w:r>
      <w:r w:rsidR="00752A10" w:rsidRPr="0074099D">
        <w:t xml:space="preserve"> non-violent, peaceful demonstrators </w:t>
      </w:r>
      <w:r w:rsidR="00752A10" w:rsidRPr="0074099D">
        <w:rPr>
          <w:bCs/>
        </w:rPr>
        <w:t xml:space="preserve">and to journalists, including through the use of live ammunition; </w:t>
      </w:r>
      <w:r w:rsidR="00752A10" w:rsidRPr="0074099D">
        <w:t>the use of collective punishment; the closure of areas; the confiscation of land; the establishment and expansion of settlements; the construction of a wall in the Occupied Palestinian Territory in departure from the Armistice Line of 1949; the policies and practices that discriminate against and disproportionately affect the Palestinian population in the Occupied Palestinian Territory, including East Jerusalem; the discriminatory allocation of water resources between Israeli settlers, who reside illegally in the Occupied Palestinian Territory, and the Palestinian population of the said Territory</w:t>
      </w:r>
      <w:r w:rsidR="00752A10" w:rsidRPr="0074099D">
        <w:rPr>
          <w:i/>
        </w:rPr>
        <w:t xml:space="preserve">; </w:t>
      </w:r>
      <w:r w:rsidR="00752A10" w:rsidRPr="0074099D">
        <w:t>the violation of the basic right to adequate housing, which is a component of the right to an adequate standard of living; the destruction of property and infrastructure; and all other actions by it designed to change the legal status, geographical nature and demographic composition of the Occupied Palestinian Territory, including East Jerusalem,</w:t>
      </w:r>
    </w:p>
    <w:p w14:paraId="5873FD53" w14:textId="77777777" w:rsidR="00752A10" w:rsidRPr="0074099D" w:rsidRDefault="00B5388D" w:rsidP="00752A10">
      <w:pPr>
        <w:pStyle w:val="SingleTxtG"/>
        <w:ind w:firstLine="567"/>
      </w:pPr>
      <w:r w:rsidRPr="0074099D">
        <w:t xml:space="preserve">PP15 </w:t>
      </w:r>
      <w:r w:rsidR="003E692B" w:rsidRPr="0074099D">
        <w:rPr>
          <w:i/>
        </w:rPr>
        <w:t>Gravely concerned</w:t>
      </w:r>
      <w:r w:rsidR="003E692B" w:rsidRPr="0074099D">
        <w:t xml:space="preserve"> in this regard by the ongoing demolition of Palestinian homes by Israel, the occupying Power, in particular in Occupied East Jerusalem, including if carried out as an act of collective punishment in violation of international humanitarian law, and by the revocation of residence permits and eviction of Palestinian residents of the City,</w:t>
      </w:r>
      <w:r w:rsidR="00976340" w:rsidRPr="0074099D">
        <w:t xml:space="preserve"> </w:t>
      </w:r>
    </w:p>
    <w:p w14:paraId="74CA3BD4" w14:textId="77777777" w:rsidR="00752A10" w:rsidRPr="0074099D" w:rsidRDefault="00B5388D" w:rsidP="00752A10">
      <w:pPr>
        <w:pStyle w:val="SingleTxtG"/>
        <w:ind w:firstLine="567"/>
        <w:rPr>
          <w:bCs/>
        </w:rPr>
      </w:pPr>
      <w:r w:rsidRPr="0074099D">
        <w:rPr>
          <w:bCs/>
          <w:iCs/>
        </w:rPr>
        <w:t xml:space="preserve">PP16 </w:t>
      </w:r>
      <w:r w:rsidR="00752A10" w:rsidRPr="0074099D">
        <w:rPr>
          <w:bCs/>
          <w:i/>
          <w:iCs/>
        </w:rPr>
        <w:t>Deploring</w:t>
      </w:r>
      <w:r w:rsidR="00752A10" w:rsidRPr="0074099D">
        <w:rPr>
          <w:bCs/>
        </w:rPr>
        <w:t xml:space="preserve"> the conflict in and around the Gaza Strip in July and August 2014 and the civilian casualties caused, including the killing and injury of thousands of Palestinian civilians, including children, women and elderly persons, the widespread destruction of thousands of homes and of civilian infrastructure, including schools, hospitals, water sanitation and electricity networks, economic, industrial and agricultural properties, public institutions, religious sites and United Nations schools and facilities, the internal displacement of hundreds of thousands of civilians, and any violations of international law, including humanitarian and human rights law, in this regard,</w:t>
      </w:r>
    </w:p>
    <w:p w14:paraId="0D663CB0" w14:textId="77777777" w:rsidR="00752A10" w:rsidRPr="0074099D" w:rsidRDefault="00B5388D" w:rsidP="00752A10">
      <w:pPr>
        <w:pStyle w:val="SingleTxtG"/>
        <w:ind w:firstLine="567"/>
        <w:rPr>
          <w:bCs/>
        </w:rPr>
      </w:pPr>
      <w:r w:rsidRPr="0074099D">
        <w:rPr>
          <w:iCs/>
        </w:rPr>
        <w:lastRenderedPageBreak/>
        <w:t xml:space="preserve">PP17 </w:t>
      </w:r>
      <w:r w:rsidR="00752A10" w:rsidRPr="0074099D">
        <w:rPr>
          <w:i/>
          <w:iCs/>
        </w:rPr>
        <w:t>Gravely concerned</w:t>
      </w:r>
      <w:r w:rsidR="00752A10" w:rsidRPr="0074099D">
        <w:t xml:space="preserve"> in particular about the d</w:t>
      </w:r>
      <w:r w:rsidR="00752A10" w:rsidRPr="0074099D">
        <w:rPr>
          <w:bCs/>
        </w:rPr>
        <w:t>isastrous</w:t>
      </w:r>
      <w:r w:rsidR="00752A10" w:rsidRPr="0074099D">
        <w:t xml:space="preserve"> humanitarian </w:t>
      </w:r>
      <w:r w:rsidR="00752A10" w:rsidRPr="0074099D">
        <w:rPr>
          <w:bCs/>
        </w:rPr>
        <w:t>situation</w:t>
      </w:r>
      <w:r w:rsidR="00752A10" w:rsidRPr="0074099D">
        <w:t xml:space="preserve"> and </w:t>
      </w:r>
      <w:r w:rsidR="00752A10" w:rsidRPr="0074099D">
        <w:rPr>
          <w:bCs/>
        </w:rPr>
        <w:t xml:space="preserve">the critical socioeconomic and </w:t>
      </w:r>
      <w:r w:rsidR="00752A10" w:rsidRPr="0074099D">
        <w:t xml:space="preserve">security situations in the Gaza Strip, including that resulting from the prolonged continuous closures and severe economic and movement restrictions that in effect amount to a blockade, and </w:t>
      </w:r>
      <w:r w:rsidR="00752A10" w:rsidRPr="0074099D">
        <w:rPr>
          <w:bCs/>
        </w:rPr>
        <w:t>from the continuing and vastly negative repercussions of</w:t>
      </w:r>
      <w:r w:rsidR="00752A10" w:rsidRPr="0074099D">
        <w:t xml:space="preserve"> the military operations between December 2008 and January 2009, in November 2012 and in July and August 2014, as well as about the firing of rockets into Israel,</w:t>
      </w:r>
    </w:p>
    <w:p w14:paraId="2632EB67" w14:textId="77777777" w:rsidR="00752A10" w:rsidRPr="0074099D" w:rsidRDefault="00B5388D" w:rsidP="00752A10">
      <w:pPr>
        <w:pStyle w:val="SingleTxtG"/>
        <w:ind w:firstLine="567"/>
      </w:pPr>
      <w:r w:rsidRPr="0074099D">
        <w:t xml:space="preserve">PP18 </w:t>
      </w:r>
      <w:r w:rsidR="00752A10" w:rsidRPr="0074099D">
        <w:rPr>
          <w:i/>
        </w:rPr>
        <w:t>Stressing</w:t>
      </w:r>
      <w:r w:rsidR="00752A10" w:rsidRPr="0074099D">
        <w:t xml:space="preserve"> that the situation in the Gaza Strip is unsustainable and that a durable ceasefire agreement must lead to a fundamental improvement in the living conditions of the Palestinian people in the Gaza Strip, including through the sustained and regular opening of crossing points, and ensure the safety and well-</w:t>
      </w:r>
      <w:r w:rsidR="00752A10" w:rsidRPr="0074099D">
        <w:softHyphen/>
        <w:t>being of civilians on both sides,</w:t>
      </w:r>
    </w:p>
    <w:p w14:paraId="0A7DA27E" w14:textId="77777777" w:rsidR="00752A10" w:rsidRPr="0074099D" w:rsidRDefault="00B5388D" w:rsidP="00752A10">
      <w:pPr>
        <w:ind w:left="1134" w:right="967" w:firstLine="567"/>
        <w:jc w:val="both"/>
        <w:rPr>
          <w:lang w:eastAsia="ar-SA"/>
        </w:rPr>
      </w:pPr>
      <w:r w:rsidRPr="0074099D">
        <w:rPr>
          <w:lang w:eastAsia="ar-SA"/>
        </w:rPr>
        <w:t xml:space="preserve">PP19 </w:t>
      </w:r>
      <w:r w:rsidR="00752A10" w:rsidRPr="0074099D">
        <w:rPr>
          <w:i/>
          <w:lang w:eastAsia="ar-SA"/>
        </w:rPr>
        <w:t>Affirming</w:t>
      </w:r>
      <w:r w:rsidR="00752A10" w:rsidRPr="0074099D">
        <w:rPr>
          <w:lang w:eastAsia="ar-SA"/>
        </w:rPr>
        <w:t xml:space="preserve"> the need to support the Palestinian national consensus government in its assumption of full government responsibilities in both the West Bank and the Gaza Strip, in all fields, as well as through its presence at Gaza crossing points,</w:t>
      </w:r>
    </w:p>
    <w:p w14:paraId="10CF679C" w14:textId="77777777" w:rsidR="00752A10" w:rsidRPr="0074099D" w:rsidRDefault="00752A10" w:rsidP="00752A10">
      <w:pPr>
        <w:ind w:left="1134" w:right="967" w:firstLine="567"/>
        <w:jc w:val="both"/>
      </w:pPr>
    </w:p>
    <w:p w14:paraId="7FC6891C" w14:textId="77777777" w:rsidR="00752A10" w:rsidRPr="0074099D" w:rsidRDefault="00B5388D" w:rsidP="00256A49">
      <w:pPr>
        <w:pStyle w:val="SingleTxtG"/>
        <w:ind w:firstLine="567"/>
      </w:pPr>
      <w:r w:rsidRPr="0074099D">
        <w:t xml:space="preserve">PP20 </w:t>
      </w:r>
      <w:r w:rsidR="00752A10" w:rsidRPr="0074099D">
        <w:rPr>
          <w:i/>
        </w:rPr>
        <w:t>Expressing</w:t>
      </w:r>
      <w:r w:rsidR="00752A10" w:rsidRPr="0074099D">
        <w:t xml:space="preserve"> </w:t>
      </w:r>
      <w:r w:rsidR="00752A10" w:rsidRPr="0074099D">
        <w:rPr>
          <w:i/>
        </w:rPr>
        <w:t xml:space="preserve">deep concern </w:t>
      </w:r>
      <w:r w:rsidR="00752A10" w:rsidRPr="0074099D">
        <w:t>about the short- and long-term detrimental impact of such widespread destruction and the continued impediments to the reconstruction process on the human rights situation and on the socioeconomic and humanitarian conditions of the Palestinian civilian population, and calling upon the international community to step up its efforts in order to provide the Gaza Strip with the assistance that it requires,</w:t>
      </w:r>
    </w:p>
    <w:p w14:paraId="7E86F546" w14:textId="77777777" w:rsidR="00752A10" w:rsidRPr="0074099D" w:rsidRDefault="00B5388D" w:rsidP="00F31499">
      <w:pPr>
        <w:pStyle w:val="SingleTxtG"/>
        <w:tabs>
          <w:tab w:val="left" w:pos="3402"/>
        </w:tabs>
        <w:ind w:firstLine="567"/>
      </w:pPr>
      <w:r w:rsidRPr="0074099D">
        <w:t xml:space="preserve">PP21 </w:t>
      </w:r>
      <w:r w:rsidR="00752A10" w:rsidRPr="0074099D">
        <w:rPr>
          <w:i/>
        </w:rPr>
        <w:t>Stressing</w:t>
      </w:r>
      <w:r w:rsidR="00752A10" w:rsidRPr="0074099D">
        <w:t xml:space="preserve"> </w:t>
      </w:r>
      <w:r w:rsidR="00752A10" w:rsidRPr="0074099D">
        <w:rPr>
          <w:i/>
        </w:rPr>
        <w:t>the need</w:t>
      </w:r>
      <w:r w:rsidR="00752A10" w:rsidRPr="0074099D">
        <w:t xml:space="preserve"> to end immediately the closure of the Gaza Strip and for the full implementation of the Agreement on Movement and Access and the Agreed Principles for the Rafah Crossing, both of 15 November 2005, to allow for the freedom of movement of the Palestinian civilian population within and into and out of the Gaza Strip, taking into account Israeli concerns,</w:t>
      </w:r>
    </w:p>
    <w:p w14:paraId="1A7C733F" w14:textId="77777777" w:rsidR="00752A10" w:rsidRPr="0074099D" w:rsidRDefault="00B5388D" w:rsidP="00256A49">
      <w:pPr>
        <w:pStyle w:val="SingleTxtG"/>
        <w:ind w:firstLine="567"/>
      </w:pPr>
      <w:r w:rsidRPr="0074099D">
        <w:rPr>
          <w:bCs/>
        </w:rPr>
        <w:t xml:space="preserve">PP22 </w:t>
      </w:r>
      <w:r w:rsidR="00752A10" w:rsidRPr="0074099D">
        <w:rPr>
          <w:bCs/>
          <w:i/>
        </w:rPr>
        <w:t>Stressing the need also</w:t>
      </w:r>
      <w:r w:rsidR="00752A10" w:rsidRPr="0074099D">
        <w:rPr>
          <w:bCs/>
        </w:rPr>
        <w:t xml:space="preserve"> for all parties, in conformity with the relevant provisions of international humanitarian law, to cooperate fully with the United Nations and other humanitarian agencies and organizations and to ensure the safe and unhindered access of humanitarian personnel, as well as the delivery of supplies and equipment, in order to allow such personnel to perform efficiently their task of assisting affected civilian populations, including refugees and internally displaced persons, </w:t>
      </w:r>
    </w:p>
    <w:p w14:paraId="335DF242" w14:textId="77777777" w:rsidR="00752A10" w:rsidRPr="0074099D" w:rsidRDefault="00B5388D" w:rsidP="00256A49">
      <w:pPr>
        <w:pStyle w:val="SingleTxtG"/>
        <w:ind w:firstLine="567"/>
      </w:pPr>
      <w:r w:rsidRPr="0074099D">
        <w:t xml:space="preserve">PP23 </w:t>
      </w:r>
      <w:r w:rsidR="00752A10" w:rsidRPr="0074099D">
        <w:rPr>
          <w:i/>
        </w:rPr>
        <w:t>Expressing deep concern</w:t>
      </w:r>
      <w:r w:rsidR="00752A10" w:rsidRPr="0074099D">
        <w:t xml:space="preserve"> at the Israeli policy of closures and the imposition of severe restrictions and checkpoints, several of which have been transformed into structures akin to permanent border crossings, other physical obstacles and a permit regime, which are applied in a discriminatory manner affecting the Palestinian population only, and all of which obstruct the freedom of movement of persons and goods, including medical and humanitarian goods, throughout the Occupied Palestinian Territory, including East Jerusalem, and impair the Territory’s contiguity, and deeply concerned also</w:t>
      </w:r>
      <w:r w:rsidR="00752A10" w:rsidRPr="0074099D">
        <w:rPr>
          <w:i/>
        </w:rPr>
        <w:t xml:space="preserve"> </w:t>
      </w:r>
      <w:r w:rsidR="00752A10" w:rsidRPr="0074099D">
        <w:t xml:space="preserve">at the consequent violation of the human rights of the Palestinian people and the negative impact on their socioeconomic situation and the efforts aimed at rehabilitating and developing the Palestinian economy, </w:t>
      </w:r>
    </w:p>
    <w:p w14:paraId="3623948F" w14:textId="77777777" w:rsidR="00A1190E" w:rsidRPr="0074099D" w:rsidRDefault="00B5388D" w:rsidP="00256A49">
      <w:pPr>
        <w:pStyle w:val="SingleTxtG"/>
        <w:ind w:firstLine="567"/>
      </w:pPr>
      <w:r w:rsidRPr="0074099D">
        <w:t xml:space="preserve">PP24 </w:t>
      </w:r>
      <w:r w:rsidR="00A1190E" w:rsidRPr="0074099D">
        <w:rPr>
          <w:i/>
        </w:rPr>
        <w:t>Convinced </w:t>
      </w:r>
      <w:r w:rsidR="00A1190E" w:rsidRPr="0074099D">
        <w:t xml:space="preserve">that the Israeli occupation has gravely impeded the efforts to achieve sustainable development and a sound economic environment in the Occupied Palestinian Territory, including East Jerusalem, and expressing grave concern about the consequent deterioration of economic and living conditions, </w:t>
      </w:r>
    </w:p>
    <w:p w14:paraId="0E070FD6" w14:textId="77777777" w:rsidR="00752A10" w:rsidRPr="0074099D" w:rsidRDefault="00B5388D" w:rsidP="00752A10">
      <w:pPr>
        <w:pStyle w:val="SingleTxtG"/>
        <w:ind w:firstLine="567"/>
      </w:pPr>
      <w:r w:rsidRPr="0074099D">
        <w:t xml:space="preserve">PP25 </w:t>
      </w:r>
      <w:r w:rsidR="00752A10" w:rsidRPr="0074099D">
        <w:rPr>
          <w:i/>
        </w:rPr>
        <w:t>Deploring</w:t>
      </w:r>
      <w:r w:rsidR="00752A10" w:rsidRPr="0074099D">
        <w:t xml:space="preserve"> all policies and practices whereby Israeli settlers, who reside illegally in the Occupied Palestinian Territory, including East Jerusalem, are accorded preferential treatment over the Palestinian population in terms of access to roads, infrastructure, land, property, housing, natural resources and judicial mechanisms, resulting in widespread human rights violations of Palestinians,</w:t>
      </w:r>
    </w:p>
    <w:p w14:paraId="3FF74F12" w14:textId="77777777" w:rsidR="00752A10" w:rsidRPr="0074099D" w:rsidRDefault="00B5388D" w:rsidP="00752A10">
      <w:pPr>
        <w:pStyle w:val="SingleTxtG"/>
        <w:ind w:firstLine="567"/>
        <w:rPr>
          <w:i/>
        </w:rPr>
      </w:pPr>
      <w:r w:rsidRPr="0074099D">
        <w:lastRenderedPageBreak/>
        <w:t xml:space="preserve">PP26 </w:t>
      </w:r>
      <w:r w:rsidR="00752A10" w:rsidRPr="0074099D">
        <w:rPr>
          <w:i/>
        </w:rPr>
        <w:t>Emphasizing</w:t>
      </w:r>
      <w:r w:rsidR="00752A10" w:rsidRPr="0074099D">
        <w:t xml:space="preserve"> that the destruction of property and the forced displacement of Palestinian communities in the Occupied Palestinian Territory, including East Jerusalem, constitute, in all but the most limited cases as specified under international law, violations of the prohibitions on destruction of property and forcible transfer, respectively, under articles 53 and 49 of the Fourth Geneva Convention</w:t>
      </w:r>
      <w:r w:rsidR="00752A10" w:rsidRPr="0074099D">
        <w:rPr>
          <w:i/>
        </w:rPr>
        <w:t>,</w:t>
      </w:r>
    </w:p>
    <w:p w14:paraId="0DA14693" w14:textId="77777777" w:rsidR="00752A10" w:rsidRPr="0074099D" w:rsidRDefault="00B5388D" w:rsidP="00752A10">
      <w:pPr>
        <w:pStyle w:val="SingleTxtG"/>
        <w:ind w:firstLine="567"/>
        <w:rPr>
          <w:bCs/>
        </w:rPr>
      </w:pPr>
      <w:r w:rsidRPr="0074099D">
        <w:rPr>
          <w:bCs/>
          <w:iCs/>
        </w:rPr>
        <w:t xml:space="preserve">PP27 </w:t>
      </w:r>
      <w:r w:rsidR="00752A10" w:rsidRPr="0074099D">
        <w:rPr>
          <w:bCs/>
          <w:i/>
          <w:iCs/>
        </w:rPr>
        <w:t xml:space="preserve">Deeply concerned </w:t>
      </w:r>
      <w:r w:rsidR="00752A10" w:rsidRPr="0074099D">
        <w:rPr>
          <w:bCs/>
          <w:iCs/>
        </w:rPr>
        <w:t>at reports of</w:t>
      </w:r>
      <w:r w:rsidR="00752A10" w:rsidRPr="0074099D">
        <w:rPr>
          <w:bCs/>
        </w:rPr>
        <w:t xml:space="preserve"> the hampering and destruction of humanitarian assistance by Israel, contributing to a coercive environment that can lead to the forcible transfer of Palestinian civilians in the Occupied Palestinian Territory, </w:t>
      </w:r>
    </w:p>
    <w:p w14:paraId="7F1D317E" w14:textId="77777777" w:rsidR="007204DD" w:rsidRPr="0074099D" w:rsidRDefault="00B5388D" w:rsidP="007204DD">
      <w:pPr>
        <w:pStyle w:val="SingleTxtG"/>
        <w:ind w:firstLine="567"/>
      </w:pPr>
      <w:r w:rsidRPr="0074099D">
        <w:t xml:space="preserve">PP28 </w:t>
      </w:r>
      <w:r w:rsidR="00752A10" w:rsidRPr="0074099D">
        <w:rPr>
          <w:i/>
        </w:rPr>
        <w:t>Expressing deep concern</w:t>
      </w:r>
      <w:r w:rsidR="00752A10" w:rsidRPr="0074099D">
        <w:t xml:space="preserve"> that thousands of Palestinians, including many children and women and elected members of the Palestinian Legislative Council, continue to be detained and held in Israeli prisons or detention centres under harsh conditions, including, inter alia, unhygienic conditions, solitary confinement, lack of proper medical care, denial of family visits and denial of due process, that impair their well-being, and expressing deep concern also about the ill-treatment and harassment of any Palestinian prisoner and all reports of torture,</w:t>
      </w:r>
    </w:p>
    <w:p w14:paraId="1E00A28A" w14:textId="77777777" w:rsidR="007204DD" w:rsidRPr="0074099D" w:rsidRDefault="00B5388D" w:rsidP="007204DD">
      <w:pPr>
        <w:pStyle w:val="SingleTxtG"/>
        <w:ind w:firstLine="567"/>
      </w:pPr>
      <w:r w:rsidRPr="0074099D">
        <w:t xml:space="preserve">PP29 </w:t>
      </w:r>
      <w:r w:rsidR="007204DD" w:rsidRPr="0074099D">
        <w:rPr>
          <w:i/>
        </w:rPr>
        <w:t>Expressing deep concern</w:t>
      </w:r>
      <w:r w:rsidR="007204DD" w:rsidRPr="0074099D">
        <w:t xml:space="preserve"> about the recent hunger strikes by numerous Palestinian prisoners in protest of the harsh conditions of their imprisonment and detention by the occupying Power, while taking note of the agreement reached in May 2012 on conditions of detention in Israeli prisons and calling for its full and immediate implementation,</w:t>
      </w:r>
      <w:r w:rsidR="00976340" w:rsidRPr="0074099D">
        <w:t xml:space="preserve"> </w:t>
      </w:r>
    </w:p>
    <w:p w14:paraId="1968540A" w14:textId="77777777" w:rsidR="007204DD" w:rsidRPr="0074099D" w:rsidRDefault="00B5388D" w:rsidP="007204DD">
      <w:pPr>
        <w:pStyle w:val="SingleTxtG"/>
        <w:ind w:firstLine="567"/>
      </w:pPr>
      <w:r w:rsidRPr="0074099D">
        <w:t xml:space="preserve">PP30 </w:t>
      </w:r>
      <w:r w:rsidR="007204DD" w:rsidRPr="0074099D">
        <w:rPr>
          <w:i/>
        </w:rPr>
        <w:t>Recalling</w:t>
      </w:r>
      <w:r w:rsidR="007204DD" w:rsidRPr="0074099D">
        <w:t xml:space="preserve"> the United Nations Standard Minimum Rules for the Treatment of Prisoners (the Nelson Mandela Rules) and the United Nations Rules for the Treatment of Women Prisoners and Non-custodial Measures for Women </w:t>
      </w:r>
      <w:r w:rsidR="00A0114F" w:rsidRPr="0074099D">
        <w:t>Offenders (the Bangkok Rules),</w:t>
      </w:r>
      <w:r w:rsidR="007204DD" w:rsidRPr="0074099D">
        <w:t xml:space="preserve"> and calling for respect for those Rules,</w:t>
      </w:r>
      <w:r w:rsidR="00976340" w:rsidRPr="0074099D">
        <w:t xml:space="preserve"> </w:t>
      </w:r>
    </w:p>
    <w:p w14:paraId="526CB72F" w14:textId="77777777" w:rsidR="0065396B" w:rsidRPr="0074099D" w:rsidRDefault="00B5388D" w:rsidP="0065396B">
      <w:pPr>
        <w:pStyle w:val="SingleTxtG"/>
        <w:ind w:firstLine="567"/>
      </w:pPr>
      <w:r w:rsidRPr="0074099D">
        <w:t xml:space="preserve">PP31 </w:t>
      </w:r>
      <w:r w:rsidR="00752A10" w:rsidRPr="0074099D">
        <w:rPr>
          <w:i/>
        </w:rPr>
        <w:t xml:space="preserve">Expressing concern </w:t>
      </w:r>
      <w:r w:rsidR="00752A10" w:rsidRPr="0074099D">
        <w:t>about the possible consequences of the enactment by Israel, the occupying Power, of military orders regarding the detention, imprisonment and deportation of Palestinian civilians from the Occupied Palestinian Territory, including East Jerusalem, and recalling in this regard the prohibition under international humanitarian law of the deportation of civilians from occupied territories,</w:t>
      </w:r>
    </w:p>
    <w:p w14:paraId="2FBC5EB7" w14:textId="77777777" w:rsidR="00752A10" w:rsidRPr="0074099D" w:rsidRDefault="00B5388D" w:rsidP="00752A10">
      <w:pPr>
        <w:pStyle w:val="SingleTxtG"/>
        <w:ind w:firstLine="567"/>
      </w:pPr>
      <w:r w:rsidRPr="0074099D">
        <w:t xml:space="preserve">PP32 </w:t>
      </w:r>
      <w:r w:rsidR="00752A10" w:rsidRPr="0074099D">
        <w:rPr>
          <w:i/>
        </w:rPr>
        <w:t>Convinced</w:t>
      </w:r>
      <w:r w:rsidR="00752A10" w:rsidRPr="0074099D">
        <w:t xml:space="preserve"> of the need for an international presence to monitor the situation, to contribute to ending the violence and protecting the Palestinian civilian population and to help the parties implement the agreements reached and, in this regard, recalling the positive contribution of the Temporary International Presence in Hebron,</w:t>
      </w:r>
    </w:p>
    <w:p w14:paraId="688A67BF" w14:textId="77777777" w:rsidR="00752A10" w:rsidRPr="0074099D" w:rsidRDefault="00B5388D" w:rsidP="00752A10">
      <w:pPr>
        <w:pStyle w:val="SingleTxtG"/>
        <w:ind w:firstLine="567"/>
        <w:rPr>
          <w:bCs/>
        </w:rPr>
      </w:pPr>
      <w:r w:rsidRPr="0074099D">
        <w:rPr>
          <w:bCs/>
        </w:rPr>
        <w:t xml:space="preserve">PP33 </w:t>
      </w:r>
      <w:r w:rsidR="00752A10" w:rsidRPr="0074099D">
        <w:rPr>
          <w:bCs/>
          <w:i/>
        </w:rPr>
        <w:t>Recognizing</w:t>
      </w:r>
      <w:r w:rsidR="00752A10" w:rsidRPr="0074099D">
        <w:rPr>
          <w:bCs/>
        </w:rPr>
        <w:t xml:space="preserve"> </w:t>
      </w:r>
      <w:r w:rsidR="00752A10" w:rsidRPr="0074099D">
        <w:t xml:space="preserve">the continued efforts and tangible progress made in the </w:t>
      </w:r>
      <w:r w:rsidR="00752A10" w:rsidRPr="0074099D">
        <w:rPr>
          <w:bCs/>
        </w:rPr>
        <w:t xml:space="preserve">Palestinian </w:t>
      </w:r>
      <w:r w:rsidR="00752A10" w:rsidRPr="0074099D">
        <w:t xml:space="preserve">security sector, </w:t>
      </w:r>
      <w:r w:rsidR="00752A10" w:rsidRPr="0074099D">
        <w:rPr>
          <w:bCs/>
        </w:rPr>
        <w:t>noting the</w:t>
      </w:r>
      <w:r w:rsidR="00752A10" w:rsidRPr="0074099D">
        <w:t xml:space="preserve"> continued cooperation that benefits both Palestinians and Israelis, in particular by promoting security and building confidence, and expressing the hope that such progress will be extended to all major population centres,</w:t>
      </w:r>
    </w:p>
    <w:p w14:paraId="20BAFF5A" w14:textId="77777777" w:rsidR="00752A10" w:rsidRPr="0074099D" w:rsidRDefault="00B5388D" w:rsidP="00752A10">
      <w:pPr>
        <w:pStyle w:val="SingleTxtG"/>
        <w:ind w:firstLine="567"/>
      </w:pPr>
      <w:r w:rsidRPr="0074099D">
        <w:t xml:space="preserve">PP34 </w:t>
      </w:r>
      <w:r w:rsidR="00752A10" w:rsidRPr="0074099D">
        <w:rPr>
          <w:i/>
        </w:rPr>
        <w:t>Emphasizing</w:t>
      </w:r>
      <w:r w:rsidR="00752A10" w:rsidRPr="0074099D">
        <w:t xml:space="preserve"> the right of all people in the region to the enjoyment of human rights as enshrined in the international human rights covenants,</w:t>
      </w:r>
    </w:p>
    <w:p w14:paraId="40E2E7ED" w14:textId="77777777" w:rsidR="00752A10" w:rsidRPr="0074099D" w:rsidRDefault="00752A10" w:rsidP="00752A10">
      <w:pPr>
        <w:pStyle w:val="SingleTxtG"/>
        <w:ind w:firstLine="567"/>
      </w:pPr>
      <w:r w:rsidRPr="0074099D">
        <w:t>1.</w:t>
      </w:r>
      <w:r w:rsidRPr="0074099D">
        <w:tab/>
      </w:r>
      <w:r w:rsidRPr="0074099D">
        <w:rPr>
          <w:i/>
        </w:rPr>
        <w:t>Stresses</w:t>
      </w:r>
      <w:r w:rsidRPr="0074099D">
        <w:t xml:space="preserve"> the need</w:t>
      </w:r>
      <w:r w:rsidRPr="0074099D">
        <w:rPr>
          <w:i/>
        </w:rPr>
        <w:t xml:space="preserve"> </w:t>
      </w:r>
      <w:r w:rsidRPr="0074099D">
        <w:t>for Israel, the occupying Power, to withdraw from the Palestinian territory occupied since 1967, including East Jerusalem, so as to enable the Palestinian people to exercise its universally recognized right to self-determination;</w:t>
      </w:r>
    </w:p>
    <w:p w14:paraId="5BE84CD5" w14:textId="77777777" w:rsidR="00752A10" w:rsidRPr="0074099D" w:rsidRDefault="00752A10" w:rsidP="00752A10">
      <w:pPr>
        <w:pStyle w:val="SingleTxtG"/>
        <w:ind w:firstLine="567"/>
      </w:pPr>
      <w:r w:rsidRPr="0074099D">
        <w:t>2.</w:t>
      </w:r>
      <w:r w:rsidRPr="0074099D">
        <w:tab/>
      </w:r>
      <w:r w:rsidRPr="0074099D">
        <w:rPr>
          <w:i/>
        </w:rPr>
        <w:t>Reiterates</w:t>
      </w:r>
      <w:r w:rsidRPr="0074099D">
        <w:t xml:space="preserve"> that all measures and actions taken by Israel, the occupying Power, in the Occupied Palestinian Territory, including East Jerusalem, in violation of the relevant provisions of the Geneva Convention relative to the Protection of Civilian Persons in Time of War, of 12 August 1949, and contrary to the relevant resolutions of the Security Council are illegal and have no validity;</w:t>
      </w:r>
    </w:p>
    <w:p w14:paraId="79D86A22" w14:textId="77777777" w:rsidR="00752A10" w:rsidRPr="0074099D" w:rsidRDefault="00752A10" w:rsidP="00752A10">
      <w:pPr>
        <w:pStyle w:val="SingleTxtG"/>
        <w:ind w:firstLine="567"/>
      </w:pPr>
      <w:r w:rsidRPr="0074099D">
        <w:t>3.</w:t>
      </w:r>
      <w:r w:rsidRPr="0074099D">
        <w:rPr>
          <w:i/>
        </w:rPr>
        <w:tab/>
        <w:t>Demands</w:t>
      </w:r>
      <w:r w:rsidRPr="0074099D">
        <w:t xml:space="preserve"> that Israel, the occupying Power, comply fully with the provisions of the Fourth Geneva Convention of 1949 and cease immediately all measures and actions taken in violation and in breach of the Convention;</w:t>
      </w:r>
    </w:p>
    <w:p w14:paraId="7E6C839F" w14:textId="77777777" w:rsidR="0065396B" w:rsidRPr="0074099D" w:rsidRDefault="00A0114F" w:rsidP="00752A10">
      <w:pPr>
        <w:pStyle w:val="SingleTxtG"/>
        <w:ind w:firstLine="567"/>
      </w:pPr>
      <w:r w:rsidRPr="0074099D">
        <w:t xml:space="preserve">4. </w:t>
      </w:r>
      <w:r w:rsidRPr="0074099D">
        <w:tab/>
      </w:r>
      <w:r w:rsidR="00AD58FB" w:rsidRPr="0074099D">
        <w:rPr>
          <w:i/>
        </w:rPr>
        <w:t>Calls</w:t>
      </w:r>
      <w:r w:rsidR="0065396B" w:rsidRPr="0074099D">
        <w:t xml:space="preserve"> for urgent measures to ensure the safety and protection of the Palestinian civilian population in the Occupied Palestinian Territory, including East Jerusalem, in accordance with the relevant provisions of international humanitarian law and as called for by the Security Council in its resolution 904 (1994);</w:t>
      </w:r>
      <w:r w:rsidR="00976340" w:rsidRPr="0074099D">
        <w:t xml:space="preserve"> </w:t>
      </w:r>
    </w:p>
    <w:p w14:paraId="240272E9" w14:textId="77777777" w:rsidR="00752A10" w:rsidRPr="0074099D" w:rsidRDefault="00365AE2" w:rsidP="00752A10">
      <w:pPr>
        <w:pStyle w:val="SingleTxtG"/>
        <w:ind w:firstLine="567"/>
      </w:pPr>
      <w:r w:rsidRPr="0074099D">
        <w:t>5</w:t>
      </w:r>
      <w:r w:rsidR="00752A10" w:rsidRPr="0074099D">
        <w:rPr>
          <w:i/>
        </w:rPr>
        <w:t>.</w:t>
      </w:r>
      <w:r w:rsidR="00752A10" w:rsidRPr="0074099D">
        <w:rPr>
          <w:i/>
        </w:rPr>
        <w:tab/>
        <w:t>Also</w:t>
      </w:r>
      <w:r w:rsidR="00752A10" w:rsidRPr="0074099D">
        <w:t xml:space="preserve"> </w:t>
      </w:r>
      <w:r w:rsidR="00752A10" w:rsidRPr="0074099D">
        <w:rPr>
          <w:i/>
        </w:rPr>
        <w:t xml:space="preserve">demands </w:t>
      </w:r>
      <w:r w:rsidR="00752A10" w:rsidRPr="0074099D">
        <w:t>that Israel, the occupying Power, cease all practices and actions that violate the human rights of the Palestinian people, and that it fully respect human rights law and comply with its legal obligations in this regard, including in accordance with relevant United Nations resolutions;</w:t>
      </w:r>
    </w:p>
    <w:p w14:paraId="0CFF09C6" w14:textId="77777777" w:rsidR="00752A10" w:rsidRPr="0074099D" w:rsidRDefault="00365AE2" w:rsidP="00752A10">
      <w:pPr>
        <w:pStyle w:val="SingleTxtG"/>
        <w:ind w:firstLine="567"/>
      </w:pPr>
      <w:r w:rsidRPr="0074099D">
        <w:t>6</w:t>
      </w:r>
      <w:r w:rsidR="00752A10" w:rsidRPr="0074099D">
        <w:t>.</w:t>
      </w:r>
      <w:r w:rsidR="00752A10" w:rsidRPr="0074099D">
        <w:tab/>
      </w:r>
      <w:r w:rsidR="00752A10" w:rsidRPr="0074099D">
        <w:rPr>
          <w:i/>
        </w:rPr>
        <w:t>Reiterates</w:t>
      </w:r>
      <w:r w:rsidR="00752A10" w:rsidRPr="0074099D">
        <w:t xml:space="preserve"> the need for respect for the territorial unity, contiguity and integrity of all of the Occupied Palestinian Territory and for guarantees of the freedom of movement of persons and goods within the Palestinian territory, including movement into and from East Jerusalem, into and from the Gaza Strip, between the West Bank and the Gaza Strip, and to and from the outside world;</w:t>
      </w:r>
    </w:p>
    <w:p w14:paraId="2F269C17" w14:textId="77777777" w:rsidR="00752A10" w:rsidRPr="0074099D" w:rsidRDefault="00365AE2" w:rsidP="00752A10">
      <w:pPr>
        <w:pStyle w:val="SingleTxtG"/>
        <w:ind w:firstLine="567"/>
        <w:rPr>
          <w:bCs/>
        </w:rPr>
      </w:pPr>
      <w:r w:rsidRPr="0074099D">
        <w:t>7</w:t>
      </w:r>
      <w:r w:rsidR="00752A10" w:rsidRPr="0074099D">
        <w:rPr>
          <w:bCs/>
        </w:rPr>
        <w:t>.</w:t>
      </w:r>
      <w:r w:rsidR="00752A10" w:rsidRPr="0074099D">
        <w:rPr>
          <w:bCs/>
        </w:rPr>
        <w:tab/>
      </w:r>
      <w:r w:rsidR="008D4C1A" w:rsidRPr="0074099D">
        <w:rPr>
          <w:i/>
          <w:iCs/>
        </w:rPr>
        <w:t>Reiterates</w:t>
      </w:r>
      <w:r w:rsidR="008D4C1A" w:rsidRPr="0074099D">
        <w:t xml:space="preserve"> the responsibility of Israel, the occupying Power, to respect the right to health of all persons within the Occupied Palestin</w:t>
      </w:r>
      <w:r w:rsidR="00985197" w:rsidRPr="0074099D">
        <w:t xml:space="preserve">ian Territory and to facilitate </w:t>
      </w:r>
      <w:r w:rsidR="008D4C1A" w:rsidRPr="0074099D">
        <w:t xml:space="preserve">access of medical supplies and medical practitioners </w:t>
      </w:r>
      <w:r w:rsidR="00985197" w:rsidRPr="0074099D">
        <w:t>to all areas under occupation, including</w:t>
      </w:r>
      <w:r w:rsidR="008D4C1A" w:rsidRPr="0074099D">
        <w:t xml:space="preserve"> the Gaza Strip</w:t>
      </w:r>
      <w:r w:rsidR="00415BB0" w:rsidRPr="0074099D">
        <w:t>,</w:t>
      </w:r>
      <w:r w:rsidR="008D4C1A" w:rsidRPr="0074099D">
        <w:t xml:space="preserve"> and </w:t>
      </w:r>
      <w:r w:rsidR="00A0114F" w:rsidRPr="0074099D">
        <w:rPr>
          <w:bCs/>
          <w:i/>
          <w:iCs/>
        </w:rPr>
        <w:t>s</w:t>
      </w:r>
      <w:r w:rsidR="00752A10" w:rsidRPr="0074099D">
        <w:rPr>
          <w:bCs/>
          <w:i/>
          <w:iCs/>
        </w:rPr>
        <w:t>tresses</w:t>
      </w:r>
      <w:r w:rsidR="00752A10" w:rsidRPr="0074099D">
        <w:rPr>
          <w:bCs/>
          <w:iCs/>
        </w:rPr>
        <w:t xml:space="preserve"> the need</w:t>
      </w:r>
      <w:r w:rsidR="00752A10" w:rsidRPr="0074099D">
        <w:rPr>
          <w:bCs/>
        </w:rPr>
        <w:t xml:space="preserve"> for the unhindered passage of ambulances at checkpoints, especially in times of conflict;</w:t>
      </w:r>
    </w:p>
    <w:p w14:paraId="773EE9CE" w14:textId="77777777" w:rsidR="00752A10" w:rsidRPr="0074099D" w:rsidRDefault="00365AE2" w:rsidP="00752A10">
      <w:pPr>
        <w:pStyle w:val="SingleTxtG"/>
        <w:ind w:firstLine="567"/>
      </w:pPr>
      <w:r w:rsidRPr="0074099D">
        <w:t>8</w:t>
      </w:r>
      <w:r w:rsidR="00752A10" w:rsidRPr="0074099D">
        <w:t>.</w:t>
      </w:r>
      <w:r w:rsidR="00752A10" w:rsidRPr="0074099D">
        <w:rPr>
          <w:i/>
        </w:rPr>
        <w:tab/>
        <w:t xml:space="preserve">Demands </w:t>
      </w:r>
      <w:r w:rsidR="00752A10" w:rsidRPr="0074099D">
        <w:t>that</w:t>
      </w:r>
      <w:r w:rsidR="00752A10" w:rsidRPr="0074099D">
        <w:rPr>
          <w:i/>
        </w:rPr>
        <w:t xml:space="preserve"> </w:t>
      </w:r>
      <w:r w:rsidR="00752A10" w:rsidRPr="0074099D">
        <w:t xml:space="preserve">Israel, the occupying Power, cease </w:t>
      </w:r>
      <w:r w:rsidR="00752A10" w:rsidRPr="0074099D">
        <w:rPr>
          <w:bCs/>
        </w:rPr>
        <w:t xml:space="preserve">immediately </w:t>
      </w:r>
      <w:r w:rsidR="00752A10" w:rsidRPr="0074099D">
        <w:t>its imposition of prolonged closures and economic and movement restrictions, including those amounting to a blockade on the Gaza Strip, which severely restricts the freedom of movement of Palestinians within, into and out of Gaza and their access to basic utilities, housing, education, work, health and an adequate standard of living via various measures, including import and export restrictions, that have a direct impact on livelihoods, economic sustainability and development throughout Gaza, and, in this regard, calls upon Israel to implement fully the Agreement on Movement and Access and the Agreed Principles for the Rafah Crossing, in order to allow for the sustained and regular movement of persons and goods and for the acceleration of long overdue reconstruction in the Gaza Strip;</w:t>
      </w:r>
    </w:p>
    <w:p w14:paraId="439C80AB" w14:textId="77777777" w:rsidR="00752A10" w:rsidRPr="0074099D" w:rsidRDefault="00365AE2" w:rsidP="00752A10">
      <w:pPr>
        <w:pStyle w:val="SingleTxtG"/>
        <w:ind w:firstLine="567"/>
      </w:pPr>
      <w:r w:rsidRPr="0074099D">
        <w:t>9</w:t>
      </w:r>
      <w:r w:rsidR="00752A10" w:rsidRPr="0074099D">
        <w:t>.</w:t>
      </w:r>
      <w:r w:rsidR="00752A10" w:rsidRPr="0074099D">
        <w:tab/>
      </w:r>
      <w:r w:rsidR="00752A10" w:rsidRPr="0074099D">
        <w:rPr>
          <w:i/>
        </w:rPr>
        <w:t xml:space="preserve"> Expresses grave concern</w:t>
      </w:r>
      <w:r w:rsidR="00752A10" w:rsidRPr="0074099D">
        <w:t xml:space="preserve"> at</w:t>
      </w:r>
      <w:r w:rsidR="00752A10" w:rsidRPr="0074099D">
        <w:rPr>
          <w:i/>
        </w:rPr>
        <w:t xml:space="preserve"> </w:t>
      </w:r>
      <w:r w:rsidR="00752A10" w:rsidRPr="0074099D">
        <w:t>the confiscation and damage by Israel of fishing nets in the Gaza Strip for which there is no discernible security justification;</w:t>
      </w:r>
    </w:p>
    <w:p w14:paraId="6600EB46" w14:textId="77777777" w:rsidR="00752A10" w:rsidRPr="0074099D" w:rsidRDefault="00365AE2" w:rsidP="00752A10">
      <w:pPr>
        <w:pStyle w:val="SingleTxtG"/>
        <w:ind w:firstLine="567"/>
      </w:pPr>
      <w:r w:rsidRPr="0074099D">
        <w:t>10</w:t>
      </w:r>
      <w:r w:rsidR="00752A10" w:rsidRPr="0074099D">
        <w:t>.</w:t>
      </w:r>
      <w:r w:rsidR="00752A10" w:rsidRPr="0074099D">
        <w:tab/>
      </w:r>
      <w:r w:rsidR="00752A10" w:rsidRPr="0074099D">
        <w:rPr>
          <w:bCs/>
          <w:i/>
        </w:rPr>
        <w:t xml:space="preserve">Condemns </w:t>
      </w:r>
      <w:r w:rsidR="00752A10" w:rsidRPr="0074099D">
        <w:rPr>
          <w:bCs/>
        </w:rPr>
        <w:t>all acts of violence, including all acts of terror, provocation, incitement and destruction, especially the excessive use of force by the Israeli occupying forces against Palestinian civilians, particularly in the Gaza Strip, where bombardment of populated areas has caused extensive loss of life and a vast number of injuries, including among thousands of children and women, massive damage and destruction to homes, economic, industrial and agricultural properties, vital infrastructure, including water, sanitation and electricity networks, religious sites and public institutions, including hospitals and schools, and United Nations facilities, and agricultural lands, and large-scale internal displacement of civilians</w:t>
      </w:r>
      <w:r w:rsidR="00752A10" w:rsidRPr="0074099D">
        <w:t>, as well as the excessive use of force by the Israeli occupying forces against Palestinian civilians in the context of peaceful protests in the West Bank;</w:t>
      </w:r>
    </w:p>
    <w:p w14:paraId="4C4EBD63" w14:textId="77777777" w:rsidR="00752A10" w:rsidRPr="0074099D" w:rsidRDefault="00365AE2" w:rsidP="00752A10">
      <w:pPr>
        <w:pStyle w:val="SingleTxtG"/>
        <w:ind w:firstLine="567"/>
        <w:rPr>
          <w:bCs/>
        </w:rPr>
      </w:pPr>
      <w:r w:rsidRPr="0074099D">
        <w:t>11</w:t>
      </w:r>
      <w:r w:rsidR="00752A10" w:rsidRPr="0074099D">
        <w:t>.</w:t>
      </w:r>
      <w:r w:rsidR="00752A10" w:rsidRPr="0074099D">
        <w:tab/>
      </w:r>
      <w:r w:rsidR="00752A10" w:rsidRPr="0074099D">
        <w:rPr>
          <w:i/>
        </w:rPr>
        <w:t>Also condemns</w:t>
      </w:r>
      <w:r w:rsidR="00752A10" w:rsidRPr="0074099D">
        <w:rPr>
          <w:bCs/>
          <w:i/>
        </w:rPr>
        <w:t xml:space="preserve"> </w:t>
      </w:r>
      <w:r w:rsidR="00752A10" w:rsidRPr="0074099D">
        <w:t>the firing of rockets against Israeli civilian areas resulting in loss of life and injury;</w:t>
      </w:r>
    </w:p>
    <w:p w14:paraId="03C45A75" w14:textId="77777777" w:rsidR="00752A10" w:rsidRPr="0074099D" w:rsidRDefault="00752A10" w:rsidP="00752A10">
      <w:pPr>
        <w:pStyle w:val="SingleTxtG"/>
        <w:ind w:firstLine="567"/>
      </w:pPr>
      <w:r w:rsidRPr="0074099D">
        <w:t>1</w:t>
      </w:r>
      <w:r w:rsidR="00365AE2" w:rsidRPr="0074099D">
        <w:t>2</w:t>
      </w:r>
      <w:r w:rsidRPr="0074099D">
        <w:rPr>
          <w:i/>
        </w:rPr>
        <w:t>.</w:t>
      </w:r>
      <w:r w:rsidRPr="0074099D">
        <w:rPr>
          <w:i/>
        </w:rPr>
        <w:tab/>
        <w:t>Calls upon</w:t>
      </w:r>
      <w:r w:rsidRPr="0074099D">
        <w:t xml:space="preserve"> Israel to cease all violations of the right to education of Palestinians, including those stemming from restrictions on movement and incidents of harassment and attacks on school children and educational facilities by Israeli settlers and as a result of Israeli military action;</w:t>
      </w:r>
    </w:p>
    <w:p w14:paraId="1ECEE5AA" w14:textId="77777777" w:rsidR="00752A10" w:rsidRPr="0074099D" w:rsidRDefault="00365AE2" w:rsidP="00752A10">
      <w:pPr>
        <w:pStyle w:val="SingleTxtG"/>
        <w:ind w:firstLine="567"/>
      </w:pPr>
      <w:r w:rsidRPr="0074099D">
        <w:t>13</w:t>
      </w:r>
      <w:r w:rsidR="00752A10" w:rsidRPr="0074099D">
        <w:t>.</w:t>
      </w:r>
      <w:r w:rsidR="00752A10" w:rsidRPr="0074099D">
        <w:tab/>
      </w:r>
      <w:r w:rsidR="00752A10" w:rsidRPr="0074099D">
        <w:rPr>
          <w:i/>
          <w:iCs/>
        </w:rPr>
        <w:t xml:space="preserve">Also </w:t>
      </w:r>
      <w:r w:rsidR="00752A10" w:rsidRPr="0074099D">
        <w:rPr>
          <w:i/>
        </w:rPr>
        <w:t>calls upon</w:t>
      </w:r>
      <w:r w:rsidR="00752A10" w:rsidRPr="0074099D">
        <w:t xml:space="preserve"> Israel to end </w:t>
      </w:r>
      <w:r w:rsidR="00786690" w:rsidRPr="0074099D">
        <w:t xml:space="preserve">all </w:t>
      </w:r>
      <w:r w:rsidR="00752A10" w:rsidRPr="0074099D">
        <w:t xml:space="preserve">harassment, </w:t>
      </w:r>
      <w:r w:rsidR="005E74BD" w:rsidRPr="0074099D">
        <w:t xml:space="preserve">threats, </w:t>
      </w:r>
      <w:r w:rsidR="00752A10" w:rsidRPr="0074099D">
        <w:t xml:space="preserve">intimidation and reprisals against human rights </w:t>
      </w:r>
      <w:r w:rsidR="00AD58FB" w:rsidRPr="0074099D">
        <w:t>defenders and civil society</w:t>
      </w:r>
      <w:r w:rsidR="005E74BD" w:rsidRPr="0074099D">
        <w:t xml:space="preserve"> actors</w:t>
      </w:r>
      <w:r w:rsidR="00786690" w:rsidRPr="0074099D">
        <w:t xml:space="preserve"> </w:t>
      </w:r>
      <w:r w:rsidR="00752A10" w:rsidRPr="0074099D">
        <w:t>who peacefully advocate for the rights of Palestinians in the Occupied Palestinian Territory, including by cooperating with United Nations human rights bodies</w:t>
      </w:r>
      <w:r w:rsidR="00786690" w:rsidRPr="0074099D">
        <w:t xml:space="preserve">, and </w:t>
      </w:r>
      <w:r w:rsidR="005E74BD" w:rsidRPr="0074099D">
        <w:t>underscores the need to investigate all such acts, ensure accountability and effective remedies, and take steps to prevent any further such threats, attacks, reprisals or acts of intimidation</w:t>
      </w:r>
      <w:r w:rsidR="00752A10" w:rsidRPr="0074099D">
        <w:t>;</w:t>
      </w:r>
      <w:r w:rsidR="005E74BD" w:rsidRPr="0074099D">
        <w:t xml:space="preserve"> </w:t>
      </w:r>
    </w:p>
    <w:p w14:paraId="024D7637" w14:textId="77777777" w:rsidR="00752A10" w:rsidRPr="0074099D" w:rsidRDefault="00365AE2" w:rsidP="00752A10">
      <w:pPr>
        <w:pStyle w:val="SingleTxtG"/>
        <w:ind w:firstLine="567"/>
      </w:pPr>
      <w:r w:rsidRPr="0074099D">
        <w:t>14</w:t>
      </w:r>
      <w:r w:rsidR="00752A10" w:rsidRPr="0074099D">
        <w:rPr>
          <w:i/>
        </w:rPr>
        <w:t>.</w:t>
      </w:r>
      <w:r w:rsidR="00752A10" w:rsidRPr="0074099D">
        <w:rPr>
          <w:i/>
        </w:rPr>
        <w:tab/>
        <w:t>Expresses deep concern</w:t>
      </w:r>
      <w:r w:rsidR="00752A10" w:rsidRPr="0074099D">
        <w:t xml:space="preserve"> at the conditions of the Palestinian prisoners and detainees, including minors, in Israeli jails and detention centres, demands that Israel, the occupying Power, fully respect and abide by its international law obligations towards all Palestinian prisoners and detainees in its custody, and also expresses its concern at the continued extensive use of administrative detention, calls for a full implementation of the agreement reached in May 2012 for a prompt and independent investigation into all cases of death custody, and also calls upon Israel to release a</w:t>
      </w:r>
      <w:r w:rsidR="00DF6A28" w:rsidRPr="0074099D">
        <w:t>ll</w:t>
      </w:r>
      <w:r w:rsidR="00752A10" w:rsidRPr="0074099D">
        <w:t xml:space="preserve"> Palestinian prisoner</w:t>
      </w:r>
      <w:r w:rsidR="00DF6A28" w:rsidRPr="0074099D">
        <w:t>s</w:t>
      </w:r>
      <w:r w:rsidR="00752A10" w:rsidRPr="0074099D">
        <w:t xml:space="preserve"> </w:t>
      </w:r>
      <w:r w:rsidR="00DF6A28" w:rsidRPr="0074099D">
        <w:t>detained in violation of</w:t>
      </w:r>
      <w:r w:rsidR="00752A10" w:rsidRPr="0074099D">
        <w:t xml:space="preserve"> international law;</w:t>
      </w:r>
    </w:p>
    <w:p w14:paraId="70BCCC15" w14:textId="77777777" w:rsidR="0065396B" w:rsidRPr="0074099D" w:rsidRDefault="00A0114F" w:rsidP="00752A10">
      <w:pPr>
        <w:pStyle w:val="SingleTxtG"/>
        <w:ind w:firstLine="567"/>
        <w:rPr>
          <w:rtl/>
          <w:lang w:val="en-US"/>
        </w:rPr>
      </w:pPr>
      <w:r w:rsidRPr="0074099D">
        <w:t>1</w:t>
      </w:r>
      <w:r w:rsidR="00365AE2" w:rsidRPr="0074099D">
        <w:t>5</w:t>
      </w:r>
      <w:r w:rsidRPr="0074099D">
        <w:t xml:space="preserve">. </w:t>
      </w:r>
      <w:r w:rsidRPr="0074099D">
        <w:tab/>
      </w:r>
      <w:r w:rsidR="00AB0F12" w:rsidRPr="0074099D">
        <w:rPr>
          <w:i/>
        </w:rPr>
        <w:t>Calls</w:t>
      </w:r>
      <w:r w:rsidR="0065396B" w:rsidRPr="0074099D">
        <w:t xml:space="preserve"> for urgent attention to the plight and the rights, in accordance with international law, of Palestinian prisoners and detainees in Israeli jails, and calls for respect for the United Nations Standard Minimum Rules for the Treatment of Prisoners (the Nelson Mandela Rules) and the United Nations Rules for the Treatment of Women Prisoners and Non-custodial Measures for Women Offenders (the Bangkok Rules);</w:t>
      </w:r>
      <w:r w:rsidR="00976340" w:rsidRPr="0074099D">
        <w:t xml:space="preserve"> </w:t>
      </w:r>
    </w:p>
    <w:p w14:paraId="15EE3300" w14:textId="77777777" w:rsidR="00752A10" w:rsidRPr="0074099D" w:rsidRDefault="00365AE2" w:rsidP="00752A10">
      <w:pPr>
        <w:pStyle w:val="SingleTxtG"/>
        <w:ind w:firstLine="567"/>
      </w:pPr>
      <w:r w:rsidRPr="0074099D">
        <w:t>16</w:t>
      </w:r>
      <w:r w:rsidR="00752A10" w:rsidRPr="0074099D">
        <w:t>.</w:t>
      </w:r>
      <w:r w:rsidR="00752A10" w:rsidRPr="0074099D">
        <w:rPr>
          <w:bCs/>
        </w:rPr>
        <w:tab/>
      </w:r>
      <w:r w:rsidR="00752A10" w:rsidRPr="0074099D">
        <w:rPr>
          <w:bCs/>
          <w:i/>
          <w:iCs/>
        </w:rPr>
        <w:t>Calls upon</w:t>
      </w:r>
      <w:r w:rsidR="00752A10" w:rsidRPr="0074099D">
        <w:rPr>
          <w:bCs/>
          <w:iCs/>
        </w:rPr>
        <w:t xml:space="preserve"> Israel to explicitly prohibit torture, including psychological torture and other cruel, inhuman or degrading treatment or punishment; </w:t>
      </w:r>
    </w:p>
    <w:p w14:paraId="6E274AA8" w14:textId="77777777" w:rsidR="00752A10" w:rsidRPr="0074099D" w:rsidRDefault="003120B6" w:rsidP="00752A10">
      <w:pPr>
        <w:pStyle w:val="SingleTxtG"/>
        <w:ind w:firstLine="567"/>
      </w:pPr>
      <w:r w:rsidRPr="0074099D">
        <w:t>17</w:t>
      </w:r>
      <w:r w:rsidR="00752A10" w:rsidRPr="0074099D">
        <w:t>.</w:t>
      </w:r>
      <w:r w:rsidR="00752A10" w:rsidRPr="0074099D">
        <w:tab/>
      </w:r>
      <w:r w:rsidR="00752A10" w:rsidRPr="0074099D">
        <w:rPr>
          <w:i/>
        </w:rPr>
        <w:t>Demands</w:t>
      </w:r>
      <w:r w:rsidR="00752A10" w:rsidRPr="0074099D">
        <w:t xml:space="preserve"> that Israel cease its policy of transferring prisoners from the Occupied Palestinian Territory into the territory of Israel, and respect fully its obligations under article 76 of the Fourth Geneva Convention;</w:t>
      </w:r>
    </w:p>
    <w:p w14:paraId="7468100E" w14:textId="77777777" w:rsidR="00752A10" w:rsidRPr="0074099D" w:rsidRDefault="003120B6" w:rsidP="00752A10">
      <w:pPr>
        <w:pStyle w:val="SingleTxtG"/>
        <w:ind w:firstLine="567"/>
      </w:pPr>
      <w:r w:rsidRPr="0074099D">
        <w:t>18</w:t>
      </w:r>
      <w:r w:rsidR="00752A10" w:rsidRPr="0074099D">
        <w:t>.</w:t>
      </w:r>
      <w:r w:rsidR="00752A10" w:rsidRPr="0074099D">
        <w:tab/>
      </w:r>
      <w:r w:rsidR="00752A10" w:rsidRPr="0074099D">
        <w:rPr>
          <w:i/>
        </w:rPr>
        <w:t>Urges</w:t>
      </w:r>
      <w:r w:rsidR="00752A10" w:rsidRPr="0074099D">
        <w:t xml:space="preserve"> Israel to ensure that any arrest, detention and/or trial of Palestinian children is in line with the Convention on the Rights of the Child, including by refraining from holding criminal proceedings against them in military courts that, by definition, fall short of providing the necessary guarantees to ensure respect for their rights and that infringe upon their right to non-discrimination;</w:t>
      </w:r>
    </w:p>
    <w:p w14:paraId="573CE132" w14:textId="77777777" w:rsidR="00752A10" w:rsidRPr="0074099D" w:rsidRDefault="003120B6" w:rsidP="00752A10">
      <w:pPr>
        <w:pStyle w:val="SingleTxtG"/>
        <w:ind w:firstLine="567"/>
        <w:rPr>
          <w:bCs/>
        </w:rPr>
      </w:pPr>
      <w:r w:rsidRPr="0074099D">
        <w:t>19</w:t>
      </w:r>
      <w:r w:rsidR="00752A10" w:rsidRPr="0074099D">
        <w:rPr>
          <w:bCs/>
        </w:rPr>
        <w:t>.</w:t>
      </w:r>
      <w:r w:rsidR="00752A10" w:rsidRPr="0074099D">
        <w:rPr>
          <w:bCs/>
        </w:rPr>
        <w:tab/>
      </w:r>
      <w:r w:rsidR="00752A10" w:rsidRPr="0074099D">
        <w:rPr>
          <w:bCs/>
          <w:i/>
          <w:iCs/>
        </w:rPr>
        <w:t>Deplores</w:t>
      </w:r>
      <w:r w:rsidR="00752A10" w:rsidRPr="0074099D">
        <w:rPr>
          <w:bCs/>
        </w:rPr>
        <w:t xml:space="preserve"> Israel’s resumption of the policy of punitive home demolitions and the ongoing policy of revoking the residency permits of Palestinians living in East Jerusalem through various discriminatory laws, as well as the demolition of residential structures and the forced eviction of Palestinian families, in violation of their basic right to adequate housing and in violation of international humanitarian law;</w:t>
      </w:r>
    </w:p>
    <w:p w14:paraId="55981B99" w14:textId="77777777" w:rsidR="00752A10" w:rsidRPr="0074099D" w:rsidRDefault="003120B6" w:rsidP="00752A10">
      <w:pPr>
        <w:pStyle w:val="SingleTxtG"/>
        <w:ind w:firstLine="567"/>
      </w:pPr>
      <w:r w:rsidRPr="0074099D">
        <w:t>20</w:t>
      </w:r>
      <w:r w:rsidR="00752A10" w:rsidRPr="0074099D">
        <w:rPr>
          <w:bCs/>
        </w:rPr>
        <w:t>.</w:t>
      </w:r>
      <w:r w:rsidR="00752A10" w:rsidRPr="0074099D">
        <w:rPr>
          <w:bCs/>
        </w:rPr>
        <w:tab/>
      </w:r>
      <w:r w:rsidR="00752A10" w:rsidRPr="0074099D">
        <w:rPr>
          <w:bCs/>
          <w:i/>
          <w:iCs/>
        </w:rPr>
        <w:t>Expresses concern</w:t>
      </w:r>
      <w:r w:rsidR="00752A10" w:rsidRPr="0074099D">
        <w:rPr>
          <w:bCs/>
        </w:rPr>
        <w:t xml:space="preserve"> at t</w:t>
      </w:r>
      <w:r w:rsidR="00752A10" w:rsidRPr="0074099D">
        <w:t>he Citizenship and Entry into Israel Law adopted by the Knesset, which suspends the possibility, with certain rare exceptions, of family reunification between Israeli citizens and persons residing in the Occupied Palestinian Territory, including East Jerusalem, thus adversely affecting the lives of many families;</w:t>
      </w:r>
    </w:p>
    <w:p w14:paraId="47678DA8" w14:textId="77777777" w:rsidR="00752A10" w:rsidRPr="0074099D" w:rsidRDefault="003120B6" w:rsidP="00752A10">
      <w:pPr>
        <w:pStyle w:val="SingleTxtG"/>
        <w:ind w:firstLine="567"/>
      </w:pPr>
      <w:r w:rsidRPr="0074099D">
        <w:t>21</w:t>
      </w:r>
      <w:r w:rsidR="00752A10" w:rsidRPr="0074099D">
        <w:t>.</w:t>
      </w:r>
      <w:r w:rsidR="00752A10" w:rsidRPr="0074099D">
        <w:tab/>
      </w:r>
      <w:r w:rsidR="00752A10" w:rsidRPr="0074099D">
        <w:rPr>
          <w:i/>
        </w:rPr>
        <w:t>Demands</w:t>
      </w:r>
      <w:r w:rsidR="00752A10" w:rsidRPr="0074099D">
        <w:t xml:space="preserve"> that Israel, the occupying Power, cease all of its settlement activities, the construction of the wall and any other measures aimed at altering the character, status and demographic composition of the Occupied Palestinian Territory, including in and around East Jerusalem, all of which have, inter alia, a grave and detrimental impact on the human rights of the Palestinian people and the prospects for a peaceful settlement;</w:t>
      </w:r>
    </w:p>
    <w:p w14:paraId="6AB22E09" w14:textId="77777777" w:rsidR="00752A10" w:rsidRPr="0074099D" w:rsidRDefault="003120B6" w:rsidP="00752A10">
      <w:pPr>
        <w:pStyle w:val="SingleTxtG"/>
        <w:ind w:firstLine="567"/>
      </w:pPr>
      <w:r w:rsidRPr="0074099D">
        <w:t>22</w:t>
      </w:r>
      <w:r w:rsidR="00752A10" w:rsidRPr="0074099D">
        <w:t>.</w:t>
      </w:r>
      <w:r w:rsidR="00752A10" w:rsidRPr="0074099D">
        <w:tab/>
      </w:r>
      <w:r w:rsidR="00752A10" w:rsidRPr="0074099D">
        <w:rPr>
          <w:i/>
        </w:rPr>
        <w:t>Also</w:t>
      </w:r>
      <w:r w:rsidR="00752A10" w:rsidRPr="0074099D">
        <w:t xml:space="preserve"> </w:t>
      </w:r>
      <w:r w:rsidR="00752A10" w:rsidRPr="0074099D">
        <w:rPr>
          <w:i/>
        </w:rPr>
        <w:t>demands</w:t>
      </w:r>
      <w:r w:rsidR="00752A10" w:rsidRPr="0074099D">
        <w:t xml:space="preserve"> that Israel, the occupying Power, comply with its legal obligations under international law, as mentioned in the advisory opinion rendered on 9 July 2004 by the International Court of Justice and as demanded in General Assembly resolutions ES-10/15 of 20 July 2004 and ES-10/13 of 21 October 2003, and that it immediately cease the construction of the wall in the Occupied Palestinian Territory, including in and around East Jerusalem, dismantle forthwith the structure situated therein, repeal or render ineffective all legislative and regulatory acts relating thereto, and make reparation for all damage caused by the construction of the wall, which has had a grave impact on the human rights and the socioeconomic living conditions of the Palestinian people;</w:t>
      </w:r>
    </w:p>
    <w:p w14:paraId="509CFE76" w14:textId="77777777" w:rsidR="00752A10" w:rsidRPr="0074099D" w:rsidRDefault="003120B6" w:rsidP="00752A10">
      <w:pPr>
        <w:pStyle w:val="SingleTxtG"/>
        <w:ind w:firstLine="567"/>
      </w:pPr>
      <w:r w:rsidRPr="0074099D">
        <w:t>23</w:t>
      </w:r>
      <w:r w:rsidR="00752A10" w:rsidRPr="0074099D">
        <w:rPr>
          <w:i/>
        </w:rPr>
        <w:t>.</w:t>
      </w:r>
      <w:r w:rsidR="00752A10" w:rsidRPr="0074099D">
        <w:rPr>
          <w:i/>
        </w:rPr>
        <w:tab/>
        <w:t>Calls upon</w:t>
      </w:r>
      <w:r w:rsidR="00752A10" w:rsidRPr="0074099D">
        <w:t xml:space="preserve"> Israel to immediately cease any demolitions or plans for demolitions that would result in the forcible transfer or forced eviction of Palestinians, particularly in the vulnerable areas of the Jordan Valley, the periphery of Jerusalem and the South Hebron Hills, to facilitate the return of those Palestinian communities already subjected to forcible transfer or eviction to their original dwellings and to ensure adequate housing and legal security of tenure;</w:t>
      </w:r>
    </w:p>
    <w:p w14:paraId="31DAE3FD" w14:textId="77777777" w:rsidR="00752A10" w:rsidRPr="0074099D" w:rsidRDefault="003120B6" w:rsidP="00752A10">
      <w:pPr>
        <w:pStyle w:val="SingleTxtG"/>
        <w:ind w:firstLine="567"/>
      </w:pPr>
      <w:r w:rsidRPr="0074099D">
        <w:t>24</w:t>
      </w:r>
      <w:r w:rsidR="00752A10" w:rsidRPr="0074099D">
        <w:t>.</w:t>
      </w:r>
      <w:r w:rsidR="00752A10" w:rsidRPr="0074099D">
        <w:tab/>
      </w:r>
      <w:r w:rsidR="00752A10" w:rsidRPr="0074099D">
        <w:rPr>
          <w:i/>
        </w:rPr>
        <w:t>Urges</w:t>
      </w:r>
      <w:r w:rsidR="00752A10" w:rsidRPr="0074099D">
        <w:t xml:space="preserve"> Israel to ensure that water resource allocation in the Occupied Palestinian Territory is not discriminatory and does not result in water shortages disproportionately affecting the Palestinian population of the West Bank, and to take urgent steps to facilitate the restoration of the water infrastructure of the West Bank, including in the Jordan Valley, affected by the destruction of the wells of local civilians, roof water tanks and other water and irrigation facilities under military and settler operation since 1967;</w:t>
      </w:r>
    </w:p>
    <w:p w14:paraId="356922B3" w14:textId="77777777" w:rsidR="00752A10" w:rsidRPr="0074099D" w:rsidRDefault="003120B6" w:rsidP="00752A10">
      <w:pPr>
        <w:pStyle w:val="SingleTxtG"/>
        <w:ind w:firstLine="567"/>
      </w:pPr>
      <w:r w:rsidRPr="0074099D">
        <w:t>25</w:t>
      </w:r>
      <w:r w:rsidR="00752A10" w:rsidRPr="0074099D">
        <w:t>.</w:t>
      </w:r>
      <w:r w:rsidR="00752A10" w:rsidRPr="0074099D">
        <w:tab/>
      </w:r>
      <w:r w:rsidR="00752A10" w:rsidRPr="0074099D">
        <w:rPr>
          <w:i/>
        </w:rPr>
        <w:t xml:space="preserve">Deplores </w:t>
      </w:r>
      <w:r w:rsidR="00752A10" w:rsidRPr="0074099D">
        <w:t>the illegal Israeli actions in occupied East Jerusalem, including home demolitions, evictions of Palestinian residents, excavations in and around religious and historic sites, and all other unilateral measures aimed at altering the character, status and demographic composition of the city and of the territory as a whole;</w:t>
      </w:r>
    </w:p>
    <w:p w14:paraId="1D64F2F0" w14:textId="77777777" w:rsidR="00752A10" w:rsidRPr="0074099D" w:rsidRDefault="003120B6" w:rsidP="00752A10">
      <w:pPr>
        <w:pStyle w:val="SingleTxtG"/>
        <w:ind w:firstLine="567"/>
      </w:pPr>
      <w:r w:rsidRPr="0074099D">
        <w:t>26</w:t>
      </w:r>
      <w:r w:rsidR="00752A10" w:rsidRPr="0074099D">
        <w:t>.</w:t>
      </w:r>
      <w:r w:rsidR="00752A10" w:rsidRPr="0074099D">
        <w:tab/>
      </w:r>
      <w:r w:rsidR="00752A10" w:rsidRPr="0074099D">
        <w:rPr>
          <w:i/>
        </w:rPr>
        <w:t xml:space="preserve">Expresses grave concern </w:t>
      </w:r>
      <w:r w:rsidR="00752A10" w:rsidRPr="0074099D">
        <w:t>at:</w:t>
      </w:r>
    </w:p>
    <w:p w14:paraId="44C8A6B9" w14:textId="77777777" w:rsidR="00752A10" w:rsidRPr="0074099D" w:rsidRDefault="00752A10" w:rsidP="00752A10">
      <w:pPr>
        <w:pStyle w:val="SingleTxtG"/>
        <w:ind w:firstLine="567"/>
        <w:rPr>
          <w:bCs/>
        </w:rPr>
      </w:pPr>
      <w:r w:rsidRPr="0074099D">
        <w:t>(</w:t>
      </w:r>
      <w:r w:rsidRPr="0074099D">
        <w:rPr>
          <w:i/>
        </w:rPr>
        <w:t>a</w:t>
      </w:r>
      <w:r w:rsidRPr="0074099D">
        <w:t>)</w:t>
      </w:r>
      <w:r w:rsidRPr="0074099D">
        <w:tab/>
        <w:t xml:space="preserve">The restrictions imposed by Israel that impede access of Christian and Muslim worshippers to holy sites in the Occupied Palestinian Territory, including East Jerusalem, and calls upon Israel </w:t>
      </w:r>
      <w:r w:rsidRPr="0074099D">
        <w:rPr>
          <w:bCs/>
        </w:rPr>
        <w:t>to include guarantees for non-discrimination on grounds of religion or belief as well as for the preservation and peaceful access to all religious sites;</w:t>
      </w:r>
    </w:p>
    <w:p w14:paraId="60B0D043" w14:textId="77777777" w:rsidR="00752A10" w:rsidRPr="0074099D" w:rsidRDefault="00752A10" w:rsidP="00752A10">
      <w:pPr>
        <w:pStyle w:val="SingleTxtG"/>
        <w:ind w:firstLine="567"/>
      </w:pPr>
      <w:r w:rsidRPr="0074099D">
        <w:t>(</w:t>
      </w:r>
      <w:r w:rsidRPr="0074099D">
        <w:rPr>
          <w:i/>
        </w:rPr>
        <w:t>b</w:t>
      </w:r>
      <w:r w:rsidRPr="0074099D">
        <w:t>)</w:t>
      </w:r>
      <w:r w:rsidRPr="0074099D">
        <w:tab/>
        <w:t>The increasing tensions in occupied East Jerusalem and the wider region, including those stemming from attempts aimed at illegally changing the status quo of holy sites;</w:t>
      </w:r>
    </w:p>
    <w:p w14:paraId="7A3277FF" w14:textId="77777777" w:rsidR="00752A10" w:rsidRPr="0074099D" w:rsidRDefault="003120B6" w:rsidP="00752A10">
      <w:pPr>
        <w:pStyle w:val="SingleTxtG"/>
        <w:ind w:firstLine="567"/>
      </w:pPr>
      <w:r w:rsidRPr="0074099D">
        <w:t>27</w:t>
      </w:r>
      <w:r w:rsidR="00752A10" w:rsidRPr="0074099D">
        <w:t>.</w:t>
      </w:r>
      <w:r w:rsidR="00752A10" w:rsidRPr="0074099D">
        <w:tab/>
      </w:r>
      <w:r w:rsidR="00752A10" w:rsidRPr="0074099D">
        <w:rPr>
          <w:i/>
        </w:rPr>
        <w:t xml:space="preserve">Urges </w:t>
      </w:r>
      <w:r w:rsidR="00752A10" w:rsidRPr="0074099D">
        <w:t>Member States to continue to provide emergency assistance to the Palestinian people to alleviate the financial crisis and the dire socioeconomic and humanitarian situation, particularly in the Gaza Strip;</w:t>
      </w:r>
    </w:p>
    <w:p w14:paraId="7D3273C9" w14:textId="77777777" w:rsidR="00752A10" w:rsidRPr="0074099D" w:rsidRDefault="003120B6" w:rsidP="00752A10">
      <w:pPr>
        <w:pStyle w:val="SingleTxtG"/>
        <w:ind w:firstLine="567"/>
      </w:pPr>
      <w:r w:rsidRPr="0074099D">
        <w:t>28</w:t>
      </w:r>
      <w:r w:rsidR="00752A10" w:rsidRPr="0074099D">
        <w:t>.</w:t>
      </w:r>
      <w:r w:rsidR="00752A10" w:rsidRPr="0074099D">
        <w:tab/>
      </w:r>
      <w:r w:rsidR="00752A10" w:rsidRPr="0074099D">
        <w:rPr>
          <w:i/>
        </w:rPr>
        <w:t>Emphasizes</w:t>
      </w:r>
      <w:r w:rsidR="00752A10" w:rsidRPr="0074099D">
        <w:t xml:space="preserve"> the need to preserve and develop the Palestinian institutions and infrastructure for the provision of vital public services to the Palestinian civilian population and the promotion of human rights, including civil, political, economic, social and cultural rights;</w:t>
      </w:r>
    </w:p>
    <w:p w14:paraId="1390D37E" w14:textId="77777777" w:rsidR="00752A10" w:rsidRPr="0074099D" w:rsidRDefault="003120B6" w:rsidP="00752A10">
      <w:pPr>
        <w:pStyle w:val="SingleTxtG"/>
        <w:ind w:firstLine="567"/>
      </w:pPr>
      <w:r w:rsidRPr="0074099D">
        <w:t>29</w:t>
      </w:r>
      <w:r w:rsidR="00752A10" w:rsidRPr="0074099D">
        <w:t>.</w:t>
      </w:r>
      <w:r w:rsidR="00752A10" w:rsidRPr="0074099D">
        <w:tab/>
      </w:r>
      <w:r w:rsidR="00752A10" w:rsidRPr="0074099D">
        <w:rPr>
          <w:bCs/>
          <w:i/>
          <w:iCs/>
        </w:rPr>
        <w:t>Deplores</w:t>
      </w:r>
      <w:r w:rsidR="00752A10" w:rsidRPr="0074099D">
        <w:rPr>
          <w:bCs/>
        </w:rPr>
        <w:t xml:space="preserve"> the persistent non-cooperation of Israel with special procedures mandate holders and other United Nations mechanisms, and stresses </w:t>
      </w:r>
      <w:r w:rsidR="00752A10" w:rsidRPr="0074099D">
        <w:t>the need for Israel to abide by all relevant United Nations resolutions and to cooperate with the Human Rights Council, all special procedures and the Office of the United Nations High Commissioner for Human Rights;</w:t>
      </w:r>
    </w:p>
    <w:p w14:paraId="360E4AC9" w14:textId="77777777" w:rsidR="00752A10" w:rsidRPr="0074099D" w:rsidRDefault="003120B6" w:rsidP="00752A10">
      <w:pPr>
        <w:pStyle w:val="SingleTxtG"/>
        <w:ind w:firstLine="567"/>
        <w:rPr>
          <w:bCs/>
        </w:rPr>
      </w:pPr>
      <w:r w:rsidRPr="0074099D">
        <w:t>30</w:t>
      </w:r>
      <w:r w:rsidR="00752A10" w:rsidRPr="0074099D">
        <w:t>.</w:t>
      </w:r>
      <w:r w:rsidR="00752A10" w:rsidRPr="0074099D">
        <w:rPr>
          <w:bCs/>
        </w:rPr>
        <w:tab/>
      </w:r>
      <w:r w:rsidR="00752A10" w:rsidRPr="0074099D">
        <w:rPr>
          <w:bCs/>
          <w:i/>
          <w:iCs/>
        </w:rPr>
        <w:t>Requests</w:t>
      </w:r>
      <w:r w:rsidR="00752A10" w:rsidRPr="0074099D">
        <w:rPr>
          <w:bCs/>
        </w:rPr>
        <w:t xml:space="preserve"> the </w:t>
      </w:r>
      <w:r w:rsidR="00EB6306" w:rsidRPr="0074099D">
        <w:rPr>
          <w:bCs/>
        </w:rPr>
        <w:t>Secretary-General</w:t>
      </w:r>
      <w:r w:rsidR="00752A10" w:rsidRPr="0074099D">
        <w:rPr>
          <w:bCs/>
        </w:rPr>
        <w:t xml:space="preserve"> to </w:t>
      </w:r>
      <w:r w:rsidR="00EB6306" w:rsidRPr="0074099D">
        <w:rPr>
          <w:bCs/>
        </w:rPr>
        <w:t xml:space="preserve">place the </w:t>
      </w:r>
      <w:r w:rsidR="00752A10" w:rsidRPr="0074099D">
        <w:rPr>
          <w:bCs/>
        </w:rPr>
        <w:t xml:space="preserve">presence of </w:t>
      </w:r>
      <w:r w:rsidR="005C31F2" w:rsidRPr="0074099D">
        <w:rPr>
          <w:bCs/>
        </w:rPr>
        <w:t>the O</w:t>
      </w:r>
      <w:r w:rsidR="001C4291" w:rsidRPr="0074099D">
        <w:rPr>
          <w:bCs/>
        </w:rPr>
        <w:t xml:space="preserve">ffice of the </w:t>
      </w:r>
      <w:r w:rsidR="005C31F2" w:rsidRPr="0074099D">
        <w:rPr>
          <w:bCs/>
        </w:rPr>
        <w:t>H</w:t>
      </w:r>
      <w:r w:rsidR="001C4291" w:rsidRPr="0074099D">
        <w:rPr>
          <w:bCs/>
        </w:rPr>
        <w:t xml:space="preserve">igh </w:t>
      </w:r>
      <w:r w:rsidR="005C31F2" w:rsidRPr="0074099D">
        <w:rPr>
          <w:bCs/>
        </w:rPr>
        <w:t>C</w:t>
      </w:r>
      <w:r w:rsidR="001C4291" w:rsidRPr="0074099D">
        <w:rPr>
          <w:bCs/>
        </w:rPr>
        <w:t xml:space="preserve">ommissioner for </w:t>
      </w:r>
      <w:r w:rsidR="005C31F2" w:rsidRPr="0074099D">
        <w:rPr>
          <w:bCs/>
        </w:rPr>
        <w:t>H</w:t>
      </w:r>
      <w:r w:rsidR="001C4291" w:rsidRPr="0074099D">
        <w:rPr>
          <w:bCs/>
        </w:rPr>
        <w:t xml:space="preserve">uman </w:t>
      </w:r>
      <w:r w:rsidR="005C31F2" w:rsidRPr="0074099D">
        <w:rPr>
          <w:bCs/>
        </w:rPr>
        <w:t>R</w:t>
      </w:r>
      <w:r w:rsidR="001C4291" w:rsidRPr="0074099D">
        <w:rPr>
          <w:bCs/>
        </w:rPr>
        <w:t>ights</w:t>
      </w:r>
      <w:r w:rsidR="00752A10" w:rsidRPr="0074099D">
        <w:rPr>
          <w:bCs/>
        </w:rPr>
        <w:t xml:space="preserve"> in the Occupied Palestinian Territory </w:t>
      </w:r>
      <w:r w:rsidR="00EB6306" w:rsidRPr="0074099D">
        <w:rPr>
          <w:bCs/>
        </w:rPr>
        <w:t xml:space="preserve">on a firmer basis under the regular budget including </w:t>
      </w:r>
      <w:r w:rsidR="00752A10" w:rsidRPr="0074099D">
        <w:rPr>
          <w:bCs/>
        </w:rPr>
        <w:t>by, inter alia, deploying the necessary personnel and expertise</w:t>
      </w:r>
      <w:r w:rsidR="00256F35" w:rsidRPr="0074099D">
        <w:rPr>
          <w:bCs/>
        </w:rPr>
        <w:t>;</w:t>
      </w:r>
      <w:r w:rsidR="00EB6306" w:rsidRPr="0074099D">
        <w:rPr>
          <w:bCs/>
        </w:rPr>
        <w:t xml:space="preserve"> </w:t>
      </w:r>
    </w:p>
    <w:p w14:paraId="5D57DBD5" w14:textId="77777777" w:rsidR="00752A10" w:rsidRPr="0074099D" w:rsidRDefault="003120B6" w:rsidP="00752A10">
      <w:pPr>
        <w:pStyle w:val="SingleTxtG"/>
        <w:ind w:firstLine="567"/>
      </w:pPr>
      <w:r w:rsidRPr="0074099D">
        <w:t>31</w:t>
      </w:r>
      <w:r w:rsidR="00752A10" w:rsidRPr="0074099D">
        <w:rPr>
          <w:i/>
        </w:rPr>
        <w:t>.</w:t>
      </w:r>
      <w:r w:rsidR="00752A10" w:rsidRPr="0074099D">
        <w:rPr>
          <w:i/>
        </w:rPr>
        <w:tab/>
        <w:t>Requests</w:t>
      </w:r>
      <w:r w:rsidR="00752A10" w:rsidRPr="0074099D">
        <w:t xml:space="preserve"> the Secretary-General to report on the implementation of the present resolution to the Human Rights Council</w:t>
      </w:r>
      <w:r w:rsidR="00407B8A" w:rsidRPr="0074099D">
        <w:t xml:space="preserve">, with a particular focus on the recurrence and persistence of human rights violations </w:t>
      </w:r>
      <w:r w:rsidR="0035502B" w:rsidRPr="0074099D">
        <w:t>and the underlying policies leading to such patterns</w:t>
      </w:r>
      <w:r w:rsidR="00407B8A" w:rsidRPr="0074099D">
        <w:t xml:space="preserve">, including </w:t>
      </w:r>
      <w:r w:rsidR="0035502B" w:rsidRPr="0074099D">
        <w:t>those involving</w:t>
      </w:r>
      <w:r w:rsidR="00407B8A" w:rsidRPr="0074099D">
        <w:t xml:space="preserve"> forcible displacement, </w:t>
      </w:r>
      <w:r w:rsidR="00752A10" w:rsidRPr="0074099D">
        <w:t xml:space="preserve">at its </w:t>
      </w:r>
      <w:r w:rsidR="00752A10" w:rsidRPr="0074099D">
        <w:rPr>
          <w:bCs/>
        </w:rPr>
        <w:t>thirty-</w:t>
      </w:r>
      <w:r w:rsidR="00A50E58" w:rsidRPr="0074099D">
        <w:rPr>
          <w:bCs/>
        </w:rPr>
        <w:t>fourth</w:t>
      </w:r>
      <w:r w:rsidR="00A50E58" w:rsidRPr="0074099D">
        <w:t xml:space="preserve"> </w:t>
      </w:r>
      <w:r w:rsidR="00752A10" w:rsidRPr="0074099D">
        <w:t>session;</w:t>
      </w:r>
      <w:r w:rsidR="00CF369D" w:rsidRPr="0074099D">
        <w:t xml:space="preserve"> </w:t>
      </w:r>
    </w:p>
    <w:p w14:paraId="0E9959EA" w14:textId="77777777" w:rsidR="00752A10" w:rsidRPr="0074099D" w:rsidRDefault="003120B6" w:rsidP="00752A10">
      <w:pPr>
        <w:pStyle w:val="SingleTxtG"/>
        <w:ind w:firstLine="567"/>
      </w:pPr>
      <w:r w:rsidRPr="0074099D">
        <w:t>32</w:t>
      </w:r>
      <w:r w:rsidR="00752A10" w:rsidRPr="0074099D">
        <w:t>.</w:t>
      </w:r>
      <w:r w:rsidR="00752A10" w:rsidRPr="0074099D">
        <w:tab/>
      </w:r>
      <w:r w:rsidR="00752A10" w:rsidRPr="0074099D">
        <w:rPr>
          <w:i/>
        </w:rPr>
        <w:t>Decides</w:t>
      </w:r>
      <w:r w:rsidR="00752A10" w:rsidRPr="0074099D">
        <w:t xml:space="preserve"> to remain seized of the matter.</w:t>
      </w:r>
    </w:p>
    <w:p w14:paraId="2C1B3030" w14:textId="77777777" w:rsidR="00752A10" w:rsidRPr="0074099D" w:rsidRDefault="00752A10" w:rsidP="005C3430">
      <w:pPr>
        <w:pStyle w:val="SingleTxtG"/>
        <w:spacing w:before="240" w:after="0"/>
        <w:jc w:val="center"/>
        <w:rPr>
          <w:rFonts w:eastAsia="SimSun"/>
          <w:u w:val="single"/>
        </w:rPr>
      </w:pPr>
      <w:r w:rsidRPr="0074099D">
        <w:rPr>
          <w:rFonts w:eastAsia="SimSun"/>
          <w:u w:val="single"/>
          <w:lang w:eastAsia="ar-SA"/>
        </w:rPr>
        <w:tab/>
      </w:r>
      <w:r w:rsidRPr="0074099D">
        <w:rPr>
          <w:rFonts w:eastAsia="SimSun"/>
          <w:u w:val="single"/>
          <w:lang w:eastAsia="ar-SA"/>
        </w:rPr>
        <w:tab/>
      </w:r>
      <w:r w:rsidR="001B1CB5" w:rsidRPr="0074099D">
        <w:rPr>
          <w:color w:val="1A1A1A"/>
          <w:lang w:val="en-US" w:eastAsia="zh-CN"/>
        </w:rPr>
        <w:t xml:space="preserve"> </w:t>
      </w:r>
    </w:p>
    <w:sectPr w:rsidR="00752A10" w:rsidRPr="0074099D" w:rsidSect="00752A10">
      <w:headerReference w:type="even" r:id="rId10"/>
      <w:headerReference w:type="default" r:id="rId11"/>
      <w:footerReference w:type="even" r:id="rId12"/>
      <w:footerReference w:type="defaul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4134E" w14:textId="77777777" w:rsidR="003837CA" w:rsidRDefault="003837CA"/>
  </w:endnote>
  <w:endnote w:type="continuationSeparator" w:id="0">
    <w:p w14:paraId="60AE3A73" w14:textId="77777777" w:rsidR="003837CA" w:rsidRDefault="003837CA"/>
  </w:endnote>
  <w:endnote w:type="continuationNotice" w:id="1">
    <w:p w14:paraId="3BE1C92A" w14:textId="77777777" w:rsidR="003837CA" w:rsidRDefault="00383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CA799" w14:textId="77777777" w:rsidR="001C4291" w:rsidRPr="001D18FE" w:rsidRDefault="0074099D" w:rsidP="00752A10">
    <w:pPr>
      <w:pStyle w:val="Footer"/>
      <w:tabs>
        <w:tab w:val="right" w:pos="9638"/>
      </w:tabs>
    </w:pPr>
    <w:r>
      <w:fldChar w:fldCharType="begin"/>
    </w:r>
    <w:r>
      <w:instrText xml:space="preserve"> PAGE  \* MERGEFORMAT </w:instrText>
    </w:r>
    <w:r>
      <w:fldChar w:fldCharType="separate"/>
    </w:r>
    <w:r w:rsidR="00E8206A" w:rsidRPr="00E8206A">
      <w:rPr>
        <w:b/>
        <w:noProof/>
        <w:sz w:val="18"/>
      </w:rPr>
      <w:t>8</w:t>
    </w:r>
    <w:r>
      <w:rPr>
        <w:b/>
        <w:noProof/>
        <w:sz w:val="18"/>
      </w:rPr>
      <w:fldChar w:fldCharType="end"/>
    </w:r>
    <w:r w:rsidR="001C4291">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E83CB" w14:textId="77777777" w:rsidR="001C4291" w:rsidRPr="001D18FE" w:rsidRDefault="001C4291" w:rsidP="00752A10">
    <w:pPr>
      <w:pStyle w:val="Footer"/>
      <w:tabs>
        <w:tab w:val="right" w:pos="9638"/>
      </w:tabs>
      <w:rPr>
        <w:b/>
        <w:sz w:val="18"/>
      </w:rPr>
    </w:pPr>
    <w:r>
      <w:tab/>
    </w:r>
    <w:r w:rsidR="0074099D">
      <w:fldChar w:fldCharType="begin"/>
    </w:r>
    <w:r w:rsidR="0074099D">
      <w:instrText xml:space="preserve"> PAGE  \* MERGEFORMAT </w:instrText>
    </w:r>
    <w:r w:rsidR="0074099D">
      <w:fldChar w:fldCharType="separate"/>
    </w:r>
    <w:r w:rsidR="00E8206A" w:rsidRPr="00E8206A">
      <w:rPr>
        <w:b/>
        <w:noProof/>
        <w:sz w:val="18"/>
      </w:rPr>
      <w:t>7</w:t>
    </w:r>
    <w:r w:rsidR="0074099D">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7701A" w14:textId="77777777" w:rsidR="003837CA" w:rsidRPr="000B175B" w:rsidRDefault="003837CA" w:rsidP="00752A10">
      <w:pPr>
        <w:tabs>
          <w:tab w:val="right" w:pos="2155"/>
        </w:tabs>
        <w:spacing w:after="80"/>
        <w:ind w:left="680"/>
        <w:rPr>
          <w:u w:val="single"/>
        </w:rPr>
      </w:pPr>
      <w:r>
        <w:rPr>
          <w:u w:val="single"/>
        </w:rPr>
        <w:tab/>
      </w:r>
    </w:p>
  </w:footnote>
  <w:footnote w:type="continuationSeparator" w:id="0">
    <w:p w14:paraId="6F93E9CF" w14:textId="77777777" w:rsidR="003837CA" w:rsidRPr="00FC68B7" w:rsidRDefault="003837CA" w:rsidP="00752A10">
      <w:pPr>
        <w:tabs>
          <w:tab w:val="left" w:pos="2155"/>
        </w:tabs>
        <w:spacing w:after="80"/>
        <w:ind w:left="680"/>
        <w:rPr>
          <w:u w:val="single"/>
        </w:rPr>
      </w:pPr>
      <w:r>
        <w:rPr>
          <w:u w:val="single"/>
        </w:rPr>
        <w:tab/>
      </w:r>
    </w:p>
  </w:footnote>
  <w:footnote w:type="continuationNotice" w:id="1">
    <w:p w14:paraId="286F1E33" w14:textId="77777777" w:rsidR="003837CA" w:rsidRDefault="003837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A31A" w14:textId="77777777" w:rsidR="001C4291" w:rsidRPr="001D18FE" w:rsidRDefault="001C4291">
    <w:pPr>
      <w:pStyle w:val="Header"/>
    </w:pPr>
    <w:r>
      <w:t>A/HRC/</w:t>
    </w:r>
    <w:r w:rsidR="00AB36BF">
      <w:t>31</w:t>
    </w:r>
    <w:r>
      <w:t>/L.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97EC5" w14:textId="77777777" w:rsidR="00AB36BF" w:rsidRDefault="001C4291" w:rsidP="00752A10">
    <w:pPr>
      <w:pStyle w:val="Header"/>
      <w:jc w:val="right"/>
    </w:pPr>
    <w:r>
      <w:t>A/HRC/</w:t>
    </w:r>
    <w:r w:rsidR="00AB36BF">
      <w:t>31</w:t>
    </w:r>
    <w:r>
      <w:t>/L.</w:t>
    </w:r>
  </w:p>
  <w:p w14:paraId="7631477F" w14:textId="77777777" w:rsidR="001C4291" w:rsidRPr="001D18FE" w:rsidRDefault="001C4291" w:rsidP="00AB36B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FE"/>
    <w:rsid w:val="00021DA7"/>
    <w:rsid w:val="000500A6"/>
    <w:rsid w:val="000B36F8"/>
    <w:rsid w:val="001B1CB5"/>
    <w:rsid w:val="001C4291"/>
    <w:rsid w:val="001D18FE"/>
    <w:rsid w:val="0020767A"/>
    <w:rsid w:val="00240897"/>
    <w:rsid w:val="002474A1"/>
    <w:rsid w:val="00256A49"/>
    <w:rsid w:val="00256F35"/>
    <w:rsid w:val="003120B6"/>
    <w:rsid w:val="00340357"/>
    <w:rsid w:val="0035502B"/>
    <w:rsid w:val="00365AE2"/>
    <w:rsid w:val="003837CA"/>
    <w:rsid w:val="003B4626"/>
    <w:rsid w:val="003E692B"/>
    <w:rsid w:val="003F766F"/>
    <w:rsid w:val="00407B8A"/>
    <w:rsid w:val="00415BB0"/>
    <w:rsid w:val="004513F1"/>
    <w:rsid w:val="0045151D"/>
    <w:rsid w:val="00456516"/>
    <w:rsid w:val="004F06E7"/>
    <w:rsid w:val="00566C04"/>
    <w:rsid w:val="005A77DF"/>
    <w:rsid w:val="005B7702"/>
    <w:rsid w:val="005C31F2"/>
    <w:rsid w:val="005C3430"/>
    <w:rsid w:val="005E6491"/>
    <w:rsid w:val="005E74BD"/>
    <w:rsid w:val="00613D76"/>
    <w:rsid w:val="00626B16"/>
    <w:rsid w:val="006470C0"/>
    <w:rsid w:val="0065396B"/>
    <w:rsid w:val="006A0D17"/>
    <w:rsid w:val="006A3EF9"/>
    <w:rsid w:val="006E18EC"/>
    <w:rsid w:val="006F5B7C"/>
    <w:rsid w:val="007204DD"/>
    <w:rsid w:val="00735A37"/>
    <w:rsid w:val="0074099D"/>
    <w:rsid w:val="00752A10"/>
    <w:rsid w:val="00786690"/>
    <w:rsid w:val="007A762F"/>
    <w:rsid w:val="007B1899"/>
    <w:rsid w:val="007B44B9"/>
    <w:rsid w:val="007B7705"/>
    <w:rsid w:val="007C16E1"/>
    <w:rsid w:val="007C5E67"/>
    <w:rsid w:val="00837FEF"/>
    <w:rsid w:val="00865630"/>
    <w:rsid w:val="008717DC"/>
    <w:rsid w:val="008C1979"/>
    <w:rsid w:val="008C2BFC"/>
    <w:rsid w:val="008D4C1A"/>
    <w:rsid w:val="008E754C"/>
    <w:rsid w:val="00915C66"/>
    <w:rsid w:val="00922DE4"/>
    <w:rsid w:val="00923989"/>
    <w:rsid w:val="009404D0"/>
    <w:rsid w:val="00964E8A"/>
    <w:rsid w:val="00976340"/>
    <w:rsid w:val="00985197"/>
    <w:rsid w:val="009F1233"/>
    <w:rsid w:val="009F3F48"/>
    <w:rsid w:val="00A0114F"/>
    <w:rsid w:val="00A034B4"/>
    <w:rsid w:val="00A1190E"/>
    <w:rsid w:val="00A15448"/>
    <w:rsid w:val="00A20BFC"/>
    <w:rsid w:val="00A228A2"/>
    <w:rsid w:val="00A4263E"/>
    <w:rsid w:val="00A50E58"/>
    <w:rsid w:val="00A51519"/>
    <w:rsid w:val="00AA095B"/>
    <w:rsid w:val="00AB0F12"/>
    <w:rsid w:val="00AB1FD9"/>
    <w:rsid w:val="00AB36BF"/>
    <w:rsid w:val="00AD58FB"/>
    <w:rsid w:val="00B5388D"/>
    <w:rsid w:val="00B54FB2"/>
    <w:rsid w:val="00B72B1C"/>
    <w:rsid w:val="00B92A3A"/>
    <w:rsid w:val="00BC2A9C"/>
    <w:rsid w:val="00BE20B5"/>
    <w:rsid w:val="00BE2EA2"/>
    <w:rsid w:val="00C3549F"/>
    <w:rsid w:val="00C468CA"/>
    <w:rsid w:val="00C71435"/>
    <w:rsid w:val="00CC1D25"/>
    <w:rsid w:val="00CF369D"/>
    <w:rsid w:val="00D30250"/>
    <w:rsid w:val="00D46A66"/>
    <w:rsid w:val="00D67692"/>
    <w:rsid w:val="00D851F0"/>
    <w:rsid w:val="00DF6A28"/>
    <w:rsid w:val="00E12296"/>
    <w:rsid w:val="00E6551A"/>
    <w:rsid w:val="00E8206A"/>
    <w:rsid w:val="00EB6306"/>
    <w:rsid w:val="00F31499"/>
    <w:rsid w:val="00F45982"/>
    <w:rsid w:val="00F7389F"/>
    <w:rsid w:val="00FE575C"/>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7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56667"/>
    <w:pPr>
      <w:spacing w:line="240" w:lineRule="auto"/>
    </w:pPr>
    <w:rPr>
      <w:rFonts w:ascii="Tahoma" w:hAnsi="Tahoma"/>
      <w:sz w:val="16"/>
      <w:szCs w:val="16"/>
    </w:rPr>
  </w:style>
  <w:style w:type="character" w:customStyle="1" w:styleId="BalloonTextChar">
    <w:name w:val="Balloon Text Char"/>
    <w:basedOn w:val="DefaultParagraphFont"/>
    <w:uiPriority w:val="99"/>
    <w:semiHidden/>
    <w:rsid w:val="007252D0"/>
    <w:rPr>
      <w:rFonts w:ascii="Lucida Grande" w:hAnsi="Lucida Grande" w:cs="Lucida Grande"/>
      <w:sz w:val="18"/>
      <w:szCs w:val="18"/>
    </w:rPr>
  </w:style>
  <w:style w:type="character" w:customStyle="1" w:styleId="BalloonTextChar0">
    <w:name w:val="Balloon Text Char"/>
    <w:basedOn w:val="DefaultParagraphFont"/>
    <w:uiPriority w:val="99"/>
    <w:semiHidden/>
    <w:rsid w:val="007252D0"/>
    <w:rPr>
      <w:rFonts w:ascii="Lucida Grande" w:hAnsi="Lucida Grande" w:cs="Lucida Grande"/>
      <w:sz w:val="18"/>
      <w:szCs w:val="18"/>
    </w:rPr>
  </w:style>
  <w:style w:type="character" w:customStyle="1" w:styleId="BalloonTextChar2">
    <w:name w:val="Balloon Text Char"/>
    <w:basedOn w:val="DefaultParagraphFont"/>
    <w:uiPriority w:val="99"/>
    <w:semiHidden/>
    <w:rsid w:val="006F03DE"/>
    <w:rPr>
      <w:rFonts w:ascii="Lucida Grande" w:hAnsi="Lucida Grande" w:cs="Lucida Grande"/>
      <w:sz w:val="18"/>
      <w:szCs w:val="18"/>
    </w:rPr>
  </w:style>
  <w:style w:type="character" w:customStyle="1" w:styleId="BalloonTextChar3">
    <w:name w:val="Balloon Text Char"/>
    <w:basedOn w:val="DefaultParagraphFont"/>
    <w:uiPriority w:val="99"/>
    <w:semiHidden/>
    <w:rsid w:val="006F03DE"/>
    <w:rPr>
      <w:rFonts w:ascii="Lucida Grande" w:hAnsi="Lucida Grande" w:cs="Lucida Grande"/>
      <w:sz w:val="18"/>
      <w:szCs w:val="18"/>
    </w:rPr>
  </w:style>
  <w:style w:type="character" w:customStyle="1" w:styleId="BalloonTextChar4">
    <w:name w:val="Balloon Text Char"/>
    <w:basedOn w:val="DefaultParagraphFont"/>
    <w:uiPriority w:val="99"/>
    <w:semiHidden/>
    <w:rsid w:val="006F03DE"/>
    <w:rPr>
      <w:rFonts w:ascii="Lucida Grande" w:hAnsi="Lucida Grande" w:cs="Lucida Grande"/>
      <w:sz w:val="18"/>
      <w:szCs w:val="18"/>
    </w:rPr>
  </w:style>
  <w:style w:type="character" w:customStyle="1" w:styleId="BalloonTextChar5">
    <w:name w:val="Balloon Text Char"/>
    <w:basedOn w:val="DefaultParagraphFont"/>
    <w:uiPriority w:val="99"/>
    <w:semiHidden/>
    <w:rsid w:val="006F03DE"/>
    <w:rPr>
      <w:rFonts w:ascii="Lucida Grande" w:hAnsi="Lucida Grande" w:cs="Lucida Grande"/>
      <w:sz w:val="18"/>
      <w:szCs w:val="18"/>
    </w:rPr>
  </w:style>
  <w:style w:type="character" w:customStyle="1" w:styleId="BalloonTextChar6">
    <w:name w:val="Balloon Text Char"/>
    <w:basedOn w:val="DefaultParagraphFont"/>
    <w:uiPriority w:val="99"/>
    <w:semiHidden/>
    <w:rsid w:val="006F03DE"/>
    <w:rPr>
      <w:rFonts w:ascii="Lucida Grande" w:hAnsi="Lucida Grande" w:cs="Lucida Grande"/>
      <w:sz w:val="18"/>
      <w:szCs w:val="18"/>
    </w:rPr>
  </w:style>
  <w:style w:type="character" w:customStyle="1" w:styleId="BalloonTextChar7">
    <w:name w:val="Balloon Text Char"/>
    <w:basedOn w:val="DefaultParagraphFont"/>
    <w:uiPriority w:val="99"/>
    <w:semiHidden/>
    <w:rsid w:val="006F03DE"/>
    <w:rPr>
      <w:rFonts w:ascii="Lucida Grande" w:hAnsi="Lucida Grande" w:cs="Lucida Grande"/>
      <w:sz w:val="18"/>
      <w:szCs w:val="18"/>
    </w:rPr>
  </w:style>
  <w:style w:type="character" w:customStyle="1" w:styleId="BalloonTextChar8">
    <w:name w:val="Balloon Text Char"/>
    <w:basedOn w:val="DefaultParagraphFont"/>
    <w:uiPriority w:val="99"/>
    <w:semiHidden/>
    <w:rsid w:val="006F03DE"/>
    <w:rPr>
      <w:rFonts w:ascii="Lucida Grande" w:hAnsi="Lucida Grande" w:cs="Lucida Grande"/>
      <w:sz w:val="18"/>
      <w:szCs w:val="18"/>
    </w:rPr>
  </w:style>
  <w:style w:type="character" w:customStyle="1" w:styleId="BalloonTextChar9">
    <w:name w:val="Balloon Text Char"/>
    <w:basedOn w:val="DefaultParagraphFont"/>
    <w:uiPriority w:val="99"/>
    <w:semiHidden/>
    <w:rsid w:val="006F03DE"/>
    <w:rPr>
      <w:rFonts w:ascii="Lucida Grande" w:hAnsi="Lucida Grande" w:cs="Lucida Grande"/>
      <w:sz w:val="18"/>
      <w:szCs w:val="18"/>
    </w:rPr>
  </w:style>
  <w:style w:type="character" w:customStyle="1" w:styleId="BalloonTextChara">
    <w:name w:val="Balloon Text Char"/>
    <w:basedOn w:val="DefaultParagraphFont"/>
    <w:uiPriority w:val="99"/>
    <w:semiHidden/>
    <w:rsid w:val="002F08F1"/>
    <w:rPr>
      <w:rFonts w:ascii="Lucida Grande" w:hAnsi="Lucida Grande"/>
      <w:sz w:val="18"/>
      <w:szCs w:val="18"/>
    </w:rPr>
  </w:style>
  <w:style w:type="character" w:customStyle="1" w:styleId="BalloonTextCharb">
    <w:name w:val="Balloon Text Char"/>
    <w:basedOn w:val="DefaultParagraphFont"/>
    <w:uiPriority w:val="99"/>
    <w:semiHidden/>
    <w:rsid w:val="003C2DDA"/>
    <w:rPr>
      <w:rFonts w:ascii="Lucida Grande" w:hAnsi="Lucida Grande"/>
      <w:sz w:val="18"/>
      <w:szCs w:val="18"/>
    </w:rPr>
  </w:style>
  <w:style w:type="character" w:customStyle="1" w:styleId="BalloonTextCharc">
    <w:name w:val="Balloon Text Char"/>
    <w:basedOn w:val="DefaultParagraphFont"/>
    <w:uiPriority w:val="99"/>
    <w:semiHidden/>
    <w:rsid w:val="003C2DDA"/>
    <w:rPr>
      <w:rFonts w:ascii="Lucida Grande" w:hAnsi="Lucida Grande"/>
      <w:sz w:val="18"/>
      <w:szCs w:val="18"/>
    </w:rPr>
  </w:style>
  <w:style w:type="character" w:customStyle="1" w:styleId="BalloonTextChard">
    <w:name w:val="Balloon Text Char"/>
    <w:basedOn w:val="DefaultParagraphFont"/>
    <w:uiPriority w:val="99"/>
    <w:semiHidden/>
    <w:rsid w:val="003C2DDA"/>
    <w:rPr>
      <w:rFonts w:ascii="Lucida Grande" w:hAnsi="Lucida Grande"/>
      <w:sz w:val="18"/>
      <w:szCs w:val="18"/>
    </w:rPr>
  </w:style>
  <w:style w:type="character" w:customStyle="1" w:styleId="BalloonTextChare">
    <w:name w:val="Balloon Text Char"/>
    <w:basedOn w:val="DefaultParagraphFont"/>
    <w:uiPriority w:val="99"/>
    <w:semiHidden/>
    <w:rsid w:val="003C2DDA"/>
    <w:rPr>
      <w:rFonts w:ascii="Lucida Grande" w:hAnsi="Lucida Grande"/>
      <w:sz w:val="18"/>
      <w:szCs w:val="18"/>
    </w:rPr>
  </w:style>
  <w:style w:type="character" w:customStyle="1" w:styleId="BalloonTextCharf">
    <w:name w:val="Balloon Text Char"/>
    <w:basedOn w:val="DefaultParagraphFont"/>
    <w:uiPriority w:val="99"/>
    <w:semiHidden/>
    <w:rsid w:val="003C2DDA"/>
    <w:rPr>
      <w:rFonts w:ascii="Lucida Grande" w:hAnsi="Lucida Grande"/>
      <w:sz w:val="18"/>
      <w:szCs w:val="18"/>
    </w:rPr>
  </w:style>
  <w:style w:type="character" w:customStyle="1" w:styleId="BalloonTextCharf0">
    <w:name w:val="Balloon Text Char"/>
    <w:basedOn w:val="DefaultParagraphFont"/>
    <w:uiPriority w:val="99"/>
    <w:semiHidden/>
    <w:rsid w:val="003C2DDA"/>
    <w:rPr>
      <w:rFonts w:ascii="Lucida Grande" w:hAnsi="Lucida Grande"/>
      <w:sz w:val="18"/>
      <w:szCs w:val="18"/>
    </w:rPr>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character" w:customStyle="1" w:styleId="BalloonTextChar1">
    <w:name w:val="Balloon Text Char1"/>
    <w:link w:val="BalloonText"/>
    <w:rsid w:val="00156667"/>
    <w:rPr>
      <w:rFonts w:ascii="Tahoma" w:hAnsi="Tahoma" w:cs="Tahoma"/>
      <w:sz w:val="16"/>
      <w:szCs w:val="16"/>
      <w:lang w:eastAsia="en-US"/>
    </w:rPr>
  </w:style>
  <w:style w:type="character" w:styleId="CommentReference">
    <w:name w:val="annotation reference"/>
    <w:rsid w:val="00501E7A"/>
    <w:rPr>
      <w:sz w:val="16"/>
      <w:szCs w:val="16"/>
    </w:rPr>
  </w:style>
  <w:style w:type="paragraph" w:styleId="CommentText">
    <w:name w:val="annotation text"/>
    <w:basedOn w:val="Normal"/>
    <w:link w:val="CommentTextChar"/>
    <w:rsid w:val="00501E7A"/>
  </w:style>
  <w:style w:type="character" w:customStyle="1" w:styleId="CommentTextChar">
    <w:name w:val="Comment Text Char"/>
    <w:link w:val="CommentText"/>
    <w:rsid w:val="00501E7A"/>
    <w:rPr>
      <w:lang w:eastAsia="en-US"/>
    </w:rPr>
  </w:style>
  <w:style w:type="paragraph" w:styleId="CommentSubject">
    <w:name w:val="annotation subject"/>
    <w:basedOn w:val="CommentText"/>
    <w:next w:val="CommentText"/>
    <w:link w:val="CommentSubjectChar"/>
    <w:rsid w:val="00501E7A"/>
    <w:rPr>
      <w:b/>
      <w:bCs/>
    </w:rPr>
  </w:style>
  <w:style w:type="character" w:customStyle="1" w:styleId="CommentSubjectChar">
    <w:name w:val="Comment Subject Char"/>
    <w:link w:val="CommentSubject"/>
    <w:rsid w:val="00501E7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 xsi:nil="true"/>
      <Description xsi:nil="true"/>
    </Other_x0020_Languages>
    <Type_x0020_of_x0020_Document xmlns="03f70f19-e89e-44b9-ac87-203e4f9d8d9f">3 - L. document as received</Type_x0020_of_x0020_Document>
    <Symbol_x0020_Number xmlns="03f70f19-e89e-44b9-ac87-203e4f9d8d9f">A_HRC_31_L.37</Symbol_x0020_Number>
    <Voting_x0020_Process_x0020_Order xmlns="03f70f19-e89e-44b9-ac87-203e4f9d8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84F9F16A1564F97E89A762436AFFF" ma:contentTypeVersion="12" ma:contentTypeDescription="Create a new document." ma:contentTypeScope="" ma:versionID="f5512c6e1656410710cebe813b008ae2">
  <xsd:schema xmlns:xsd="http://www.w3.org/2001/XMLSchema" xmlns:xs="http://www.w3.org/2001/XMLSchema" xmlns:p="http://schemas.microsoft.com/office/2006/metadata/properties" xmlns:ns2="03f70f19-e89e-44b9-ac87-203e4f9d8d9f" targetNamespace="http://schemas.microsoft.com/office/2006/metadata/properties" ma:root="true" ma:fieldsID="01a7bdfd6d19910c7b989aaf25dfaf8c"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12BC5-38B3-4637-85E9-8005DB2EECD4}">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03f70f19-e89e-44b9-ac87-203e4f9d8d9f"/>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16998D-615D-4238-9F39-F15F11AF1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2F38D-9EBC-482B-BE2A-17F56A833E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United Nations</vt:lpstr>
    </vt:vector>
  </TitlesOfParts>
  <LinksUpToDate>false</LinksUpToDate>
  <CharactersWithSpaces>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
  <cp:lastModifiedBy/>
  <cp:revision>1</cp:revision>
  <cp:lastPrinted>2015-03-25T13:24:00Z</cp:lastPrinted>
  <dcterms:created xsi:type="dcterms:W3CDTF">2016-03-19T21:55:00Z</dcterms:created>
  <dcterms:modified xsi:type="dcterms:W3CDTF">2016-03-19T21:55:00Z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0x0101009F284F9F16A1564F97E89A762436AFFF</vt:lpwstr>
  </property>
</Properties>
</file>